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5291" w14:textId="77777777" w:rsidR="007B48CC" w:rsidRDefault="00E90905">
      <w:pPr>
        <w:tabs>
          <w:tab w:val="left" w:pos="5606"/>
        </w:tabs>
        <w:ind w:left="101"/>
        <w:rPr>
          <w:rFonts w:ascii="Times New Roman"/>
          <w:sz w:val="20"/>
        </w:rPr>
      </w:pPr>
      <w:r>
        <w:rPr>
          <w:rFonts w:ascii="Times New Roman"/>
          <w:noProof/>
          <w:sz w:val="20"/>
        </w:rPr>
        <w:drawing>
          <wp:inline distT="0" distB="0" distL="0" distR="0" wp14:anchorId="583FC958" wp14:editId="221C2CC8">
            <wp:extent cx="2445630" cy="1403984"/>
            <wp:effectExtent l="0" t="0" r="0" b="0"/>
            <wp:docPr id="1" name="image1.jpeg" descr="Department for Communities and Local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45630" cy="1403984"/>
                    </a:xfrm>
                    <a:prstGeom prst="rect">
                      <a:avLst/>
                    </a:prstGeom>
                  </pic:spPr>
                </pic:pic>
              </a:graphicData>
            </a:graphic>
          </wp:inline>
        </w:drawing>
      </w:r>
      <w:r>
        <w:rPr>
          <w:rFonts w:ascii="Times New Roman"/>
          <w:sz w:val="20"/>
        </w:rPr>
        <w:tab/>
      </w:r>
      <w:r>
        <w:rPr>
          <w:rFonts w:ascii="Times New Roman"/>
          <w:noProof/>
          <w:position w:val="34"/>
          <w:sz w:val="20"/>
        </w:rPr>
        <w:drawing>
          <wp:inline distT="0" distB="0" distL="0" distR="0" wp14:anchorId="2DEEB924" wp14:editId="3A4174AB">
            <wp:extent cx="2476499" cy="6286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476499" cy="628650"/>
                    </a:xfrm>
                    <a:prstGeom prst="rect">
                      <a:avLst/>
                    </a:prstGeom>
                  </pic:spPr>
                </pic:pic>
              </a:graphicData>
            </a:graphic>
          </wp:inline>
        </w:drawing>
      </w:r>
    </w:p>
    <w:p w14:paraId="750F2771" w14:textId="77777777" w:rsidR="007B48CC" w:rsidRDefault="007B48CC">
      <w:pPr>
        <w:pStyle w:val="BodyText"/>
        <w:rPr>
          <w:rFonts w:ascii="Times New Roman"/>
          <w:sz w:val="20"/>
        </w:rPr>
      </w:pPr>
    </w:p>
    <w:p w14:paraId="6168FEAE" w14:textId="77777777" w:rsidR="007B48CC" w:rsidRDefault="007B48CC">
      <w:pPr>
        <w:pStyle w:val="BodyText"/>
        <w:rPr>
          <w:rFonts w:ascii="Times New Roman"/>
          <w:sz w:val="20"/>
        </w:rPr>
      </w:pPr>
    </w:p>
    <w:p w14:paraId="13FF30F4" w14:textId="77777777" w:rsidR="007B48CC" w:rsidRDefault="007B48CC">
      <w:pPr>
        <w:pStyle w:val="BodyText"/>
        <w:rPr>
          <w:rFonts w:ascii="Times New Roman"/>
          <w:sz w:val="20"/>
        </w:rPr>
      </w:pPr>
    </w:p>
    <w:p w14:paraId="4005CF04" w14:textId="77777777" w:rsidR="007B48CC" w:rsidRDefault="007B48CC">
      <w:pPr>
        <w:pStyle w:val="BodyText"/>
        <w:rPr>
          <w:rFonts w:ascii="Times New Roman"/>
          <w:sz w:val="20"/>
        </w:rPr>
      </w:pPr>
    </w:p>
    <w:p w14:paraId="39E3A625" w14:textId="77777777" w:rsidR="007B48CC" w:rsidRDefault="007B48CC">
      <w:pPr>
        <w:pStyle w:val="BodyText"/>
        <w:rPr>
          <w:rFonts w:ascii="Times New Roman"/>
          <w:sz w:val="20"/>
        </w:rPr>
      </w:pPr>
    </w:p>
    <w:p w14:paraId="6D699D2D" w14:textId="77777777" w:rsidR="007B48CC" w:rsidRDefault="007B48CC">
      <w:pPr>
        <w:pStyle w:val="BodyText"/>
        <w:rPr>
          <w:rFonts w:ascii="Times New Roman"/>
          <w:sz w:val="20"/>
        </w:rPr>
      </w:pPr>
    </w:p>
    <w:p w14:paraId="07BFA8FC" w14:textId="77777777" w:rsidR="007B48CC" w:rsidRDefault="007B48CC">
      <w:pPr>
        <w:pStyle w:val="BodyText"/>
        <w:rPr>
          <w:rFonts w:ascii="Times New Roman"/>
          <w:sz w:val="20"/>
        </w:rPr>
      </w:pPr>
    </w:p>
    <w:p w14:paraId="5EC272BC" w14:textId="77777777" w:rsidR="007B48CC" w:rsidRDefault="007B48CC">
      <w:pPr>
        <w:pStyle w:val="BodyText"/>
        <w:rPr>
          <w:rFonts w:ascii="Times New Roman"/>
          <w:sz w:val="20"/>
        </w:rPr>
      </w:pPr>
    </w:p>
    <w:p w14:paraId="64B8700F" w14:textId="77777777" w:rsidR="007B48CC" w:rsidRDefault="007B48CC">
      <w:pPr>
        <w:pStyle w:val="BodyText"/>
        <w:rPr>
          <w:rFonts w:ascii="Times New Roman"/>
          <w:sz w:val="20"/>
        </w:rPr>
      </w:pPr>
    </w:p>
    <w:p w14:paraId="12AFE085" w14:textId="77777777" w:rsidR="007B48CC" w:rsidRDefault="007B48CC">
      <w:pPr>
        <w:pStyle w:val="BodyText"/>
        <w:rPr>
          <w:rFonts w:ascii="Times New Roman"/>
          <w:sz w:val="20"/>
        </w:rPr>
      </w:pPr>
    </w:p>
    <w:p w14:paraId="00450578" w14:textId="77777777" w:rsidR="007B48CC" w:rsidRDefault="007B48CC">
      <w:pPr>
        <w:pStyle w:val="BodyText"/>
        <w:rPr>
          <w:rFonts w:ascii="Times New Roman"/>
          <w:sz w:val="20"/>
        </w:rPr>
      </w:pPr>
    </w:p>
    <w:p w14:paraId="72EF7414" w14:textId="77777777" w:rsidR="007B48CC" w:rsidRDefault="007B48CC">
      <w:pPr>
        <w:pStyle w:val="BodyText"/>
        <w:rPr>
          <w:rFonts w:ascii="Times New Roman"/>
          <w:sz w:val="20"/>
        </w:rPr>
      </w:pPr>
    </w:p>
    <w:p w14:paraId="674518E7" w14:textId="77777777" w:rsidR="007B48CC" w:rsidRDefault="007B48CC">
      <w:pPr>
        <w:pStyle w:val="BodyText"/>
        <w:rPr>
          <w:rFonts w:ascii="Times New Roman"/>
          <w:sz w:val="20"/>
        </w:rPr>
      </w:pPr>
    </w:p>
    <w:p w14:paraId="60D944E3" w14:textId="77777777" w:rsidR="007B48CC" w:rsidRDefault="007B48CC">
      <w:pPr>
        <w:pStyle w:val="BodyText"/>
        <w:rPr>
          <w:rFonts w:ascii="Times New Roman"/>
          <w:sz w:val="20"/>
        </w:rPr>
      </w:pPr>
    </w:p>
    <w:p w14:paraId="0A3492AF" w14:textId="77777777" w:rsidR="007B48CC" w:rsidRDefault="007B48CC">
      <w:pPr>
        <w:pStyle w:val="BodyText"/>
        <w:rPr>
          <w:rFonts w:ascii="Times New Roman"/>
          <w:sz w:val="20"/>
        </w:rPr>
      </w:pPr>
    </w:p>
    <w:p w14:paraId="1DEBEB5D" w14:textId="77777777" w:rsidR="007B48CC" w:rsidRDefault="007B48CC">
      <w:pPr>
        <w:pStyle w:val="BodyText"/>
        <w:spacing w:before="8"/>
        <w:rPr>
          <w:rFonts w:ascii="Times New Roman"/>
          <w:sz w:val="17"/>
        </w:rPr>
      </w:pPr>
    </w:p>
    <w:p w14:paraId="7EB11391" w14:textId="77777777" w:rsidR="007B48CC" w:rsidRDefault="00E90905">
      <w:pPr>
        <w:spacing w:before="82"/>
        <w:ind w:left="600"/>
        <w:rPr>
          <w:b/>
          <w:sz w:val="56"/>
        </w:rPr>
      </w:pPr>
      <w:r>
        <w:rPr>
          <w:b/>
          <w:sz w:val="56"/>
        </w:rPr>
        <w:t>The Housing Ombudsman</w:t>
      </w:r>
    </w:p>
    <w:p w14:paraId="6A489823" w14:textId="77777777" w:rsidR="007B48CC" w:rsidRDefault="007B48CC">
      <w:pPr>
        <w:pStyle w:val="BodyText"/>
        <w:rPr>
          <w:b/>
          <w:sz w:val="62"/>
        </w:rPr>
      </w:pPr>
    </w:p>
    <w:p w14:paraId="7E01574B" w14:textId="77777777" w:rsidR="007B48CC" w:rsidRDefault="00E90905">
      <w:pPr>
        <w:spacing w:before="418"/>
        <w:ind w:left="600"/>
        <w:rPr>
          <w:b/>
          <w:sz w:val="40"/>
        </w:rPr>
      </w:pPr>
      <w:r>
        <w:rPr>
          <w:b/>
          <w:sz w:val="40"/>
        </w:rPr>
        <w:t>Framework Document</w:t>
      </w:r>
    </w:p>
    <w:p w14:paraId="147EDD9F" w14:textId="77777777" w:rsidR="007B48CC" w:rsidRDefault="007B48CC">
      <w:pPr>
        <w:pStyle w:val="BodyText"/>
        <w:rPr>
          <w:b/>
          <w:sz w:val="44"/>
        </w:rPr>
      </w:pPr>
    </w:p>
    <w:p w14:paraId="6208DC86" w14:textId="77777777" w:rsidR="007B48CC" w:rsidRDefault="007B48CC">
      <w:pPr>
        <w:pStyle w:val="BodyText"/>
        <w:rPr>
          <w:b/>
          <w:sz w:val="44"/>
        </w:rPr>
      </w:pPr>
    </w:p>
    <w:p w14:paraId="0900F0A0" w14:textId="77777777" w:rsidR="007B48CC" w:rsidRDefault="007B48CC">
      <w:pPr>
        <w:pStyle w:val="BodyText"/>
        <w:rPr>
          <w:b/>
          <w:sz w:val="44"/>
        </w:rPr>
      </w:pPr>
    </w:p>
    <w:p w14:paraId="3E33560C" w14:textId="77777777" w:rsidR="007B48CC" w:rsidRDefault="007B48CC">
      <w:pPr>
        <w:pStyle w:val="BodyText"/>
        <w:rPr>
          <w:b/>
          <w:sz w:val="44"/>
        </w:rPr>
      </w:pPr>
    </w:p>
    <w:p w14:paraId="5278D403" w14:textId="551A406C" w:rsidR="007B48CC" w:rsidRDefault="00E90905">
      <w:pPr>
        <w:pStyle w:val="Heading1"/>
        <w:spacing w:before="360"/>
        <w:ind w:left="0" w:right="218"/>
        <w:jc w:val="right"/>
      </w:pPr>
      <w:r>
        <w:t>December 2017</w:t>
      </w:r>
    </w:p>
    <w:p w14:paraId="6B264E77" w14:textId="062D3597" w:rsidR="008B32A8" w:rsidRDefault="008B32A8">
      <w:pPr>
        <w:pStyle w:val="Heading1"/>
        <w:spacing w:before="360"/>
        <w:ind w:left="0" w:right="218"/>
        <w:jc w:val="right"/>
      </w:pPr>
      <w:r>
        <w:t>Annexes updated June 2021</w:t>
      </w:r>
    </w:p>
    <w:p w14:paraId="1427B0D5" w14:textId="0DECAB53" w:rsidR="00411B5C" w:rsidRDefault="00411B5C" w:rsidP="00411B5C">
      <w:pPr>
        <w:pStyle w:val="Heading1"/>
        <w:spacing w:before="360"/>
        <w:ind w:left="0" w:right="218"/>
        <w:jc w:val="center"/>
      </w:pPr>
    </w:p>
    <w:p w14:paraId="006A6623" w14:textId="77777777" w:rsidR="007B48CC" w:rsidRDefault="007B48CC">
      <w:pPr>
        <w:jc w:val="right"/>
        <w:sectPr w:rsidR="007B48CC">
          <w:footerReference w:type="default" r:id="rId12"/>
          <w:type w:val="continuous"/>
          <w:pgSz w:w="11910" w:h="16840"/>
          <w:pgMar w:top="1400" w:right="1220" w:bottom="1240" w:left="840" w:header="720" w:footer="1054" w:gutter="0"/>
          <w:pgNumType w:start="1"/>
          <w:cols w:space="720"/>
        </w:sectPr>
      </w:pPr>
    </w:p>
    <w:p w14:paraId="0CDD0789" w14:textId="77777777" w:rsidR="007B48CC" w:rsidRDefault="00E90905">
      <w:pPr>
        <w:pStyle w:val="BodyText"/>
        <w:spacing w:before="80" w:line="276" w:lineRule="auto"/>
        <w:ind w:left="600" w:right="216"/>
        <w:jc w:val="both"/>
      </w:pPr>
      <w:r>
        <w:lastRenderedPageBreak/>
        <w:t>Based on the original Framework published in 2013, this document has been updated by the Department for Communities and Local Government (DCLG) in agreement with the Housing Ombudsman</w:t>
      </w:r>
      <w:r>
        <w:rPr>
          <w:spacing w:val="1"/>
        </w:rPr>
        <w:t xml:space="preserve"> </w:t>
      </w:r>
      <w:r>
        <w:t>(THO).</w:t>
      </w:r>
    </w:p>
    <w:p w14:paraId="1676DCCD" w14:textId="77777777" w:rsidR="007B48CC" w:rsidRDefault="007B48CC">
      <w:pPr>
        <w:spacing w:line="276" w:lineRule="auto"/>
        <w:jc w:val="both"/>
        <w:sectPr w:rsidR="007B48CC">
          <w:pgSz w:w="11910" w:h="16840"/>
          <w:pgMar w:top="1340" w:right="1220" w:bottom="1240" w:left="840" w:header="0" w:footer="1054" w:gutter="0"/>
          <w:cols w:space="720"/>
        </w:sectPr>
      </w:pPr>
    </w:p>
    <w:p w14:paraId="69017521" w14:textId="77777777" w:rsidR="007B48CC" w:rsidRDefault="00E90905">
      <w:pPr>
        <w:pStyle w:val="Heading1"/>
      </w:pPr>
      <w:r>
        <w:lastRenderedPageBreak/>
        <w:t>Foreword</w:t>
      </w:r>
    </w:p>
    <w:p w14:paraId="77F77493" w14:textId="77777777" w:rsidR="007B48CC" w:rsidRDefault="00E90905">
      <w:pPr>
        <w:pStyle w:val="ListParagraph"/>
        <w:numPr>
          <w:ilvl w:val="0"/>
          <w:numId w:val="14"/>
        </w:numPr>
        <w:tabs>
          <w:tab w:val="left" w:pos="1321"/>
        </w:tabs>
        <w:spacing w:before="257" w:line="276" w:lineRule="auto"/>
        <w:ind w:right="214"/>
        <w:jc w:val="both"/>
        <w:rPr>
          <w:sz w:val="24"/>
        </w:rPr>
      </w:pPr>
      <w:r>
        <w:rPr>
          <w:sz w:val="24"/>
        </w:rPr>
        <w:t>The Framework Document sets out the respective responsibilities and accountability of THO, the Secretary of State for Communities and Local Government (the Secretary of State) and the Permanent Secretary for the Department for Communities and Local Government (DCLG) in light of the fact that THO is one of DCLG’s sponsored bodies operating in accordance with section 51 of the Housing Act 1996 and the Housing Ombudsman Scheme (the Scheme) approved by the Secretary of</w:t>
      </w:r>
      <w:r>
        <w:rPr>
          <w:spacing w:val="-16"/>
          <w:sz w:val="24"/>
        </w:rPr>
        <w:t xml:space="preserve"> </w:t>
      </w:r>
      <w:r>
        <w:rPr>
          <w:sz w:val="24"/>
        </w:rPr>
        <w:t>State.</w:t>
      </w:r>
    </w:p>
    <w:p w14:paraId="6B401E0A" w14:textId="77777777" w:rsidR="007B48CC" w:rsidRDefault="007B48CC">
      <w:pPr>
        <w:pStyle w:val="BodyText"/>
        <w:spacing w:before="1"/>
        <w:rPr>
          <w:sz w:val="27"/>
        </w:rPr>
      </w:pPr>
    </w:p>
    <w:p w14:paraId="15CD628B" w14:textId="77777777" w:rsidR="007B48CC" w:rsidRDefault="00E90905">
      <w:pPr>
        <w:pStyle w:val="ListParagraph"/>
        <w:numPr>
          <w:ilvl w:val="0"/>
          <w:numId w:val="14"/>
        </w:numPr>
        <w:tabs>
          <w:tab w:val="left" w:pos="1321"/>
        </w:tabs>
        <w:spacing w:line="276" w:lineRule="auto"/>
        <w:ind w:right="214"/>
        <w:jc w:val="both"/>
        <w:rPr>
          <w:sz w:val="24"/>
        </w:rPr>
      </w:pPr>
      <w:r>
        <w:rPr>
          <w:sz w:val="24"/>
        </w:rPr>
        <w:t>The Framework Document recognises the personal authority of THO in relation to complaints and investigations, and does not impose any restrictions on the independent exercise of THO’s quasi-judicial statutory</w:t>
      </w:r>
      <w:r>
        <w:rPr>
          <w:spacing w:val="-13"/>
          <w:sz w:val="24"/>
        </w:rPr>
        <w:t xml:space="preserve"> </w:t>
      </w:r>
      <w:r>
        <w:rPr>
          <w:sz w:val="24"/>
        </w:rPr>
        <w:t>functions.</w:t>
      </w:r>
    </w:p>
    <w:p w14:paraId="034A1A2F" w14:textId="77777777" w:rsidR="007B48CC" w:rsidRDefault="007B48CC">
      <w:pPr>
        <w:pStyle w:val="BodyText"/>
        <w:spacing w:before="3"/>
        <w:rPr>
          <w:sz w:val="27"/>
        </w:rPr>
      </w:pPr>
    </w:p>
    <w:p w14:paraId="4CDB2C94" w14:textId="77777777" w:rsidR="007B48CC" w:rsidRDefault="00E90905">
      <w:pPr>
        <w:pStyle w:val="ListParagraph"/>
        <w:numPr>
          <w:ilvl w:val="0"/>
          <w:numId w:val="14"/>
        </w:numPr>
        <w:tabs>
          <w:tab w:val="left" w:pos="1321"/>
        </w:tabs>
        <w:spacing w:line="276" w:lineRule="auto"/>
        <w:ind w:right="215"/>
        <w:jc w:val="both"/>
        <w:rPr>
          <w:sz w:val="24"/>
        </w:rPr>
      </w:pPr>
      <w:r>
        <w:rPr>
          <w:sz w:val="24"/>
        </w:rPr>
        <w:t>This document does not convey any legal powers or responsibilities. If there is any potential conflict between the Scheme and this document, the Scheme will take precedence. This Framework Document is signed and dated by DCLG and THO. Copies of this document have been placed in the libraries of both Houses of Parliament and made available to members of the public on THO’s website</w:t>
      </w:r>
      <w:r>
        <w:rPr>
          <w:spacing w:val="-1"/>
          <w:sz w:val="24"/>
        </w:rPr>
        <w:t xml:space="preserve"> </w:t>
      </w:r>
      <w:r>
        <w:rPr>
          <w:sz w:val="24"/>
        </w:rPr>
        <w:t>(</w:t>
      </w:r>
      <w:hyperlink r:id="rId13">
        <w:r>
          <w:rPr>
            <w:color w:val="0000FF"/>
            <w:sz w:val="24"/>
            <w:u w:val="single" w:color="0000FF"/>
          </w:rPr>
          <w:t>http://www.housing-ombudsman.org.uk/</w:t>
        </w:r>
      </w:hyperlink>
      <w:r>
        <w:rPr>
          <w:sz w:val="24"/>
        </w:rPr>
        <w:t>).</w:t>
      </w:r>
    </w:p>
    <w:p w14:paraId="0F4A09C1" w14:textId="77777777" w:rsidR="007B48CC" w:rsidRDefault="007B48CC">
      <w:pPr>
        <w:pStyle w:val="BodyText"/>
        <w:spacing w:before="5"/>
        <w:rPr>
          <w:sz w:val="18"/>
        </w:rPr>
      </w:pPr>
    </w:p>
    <w:p w14:paraId="2664EF61" w14:textId="77777777" w:rsidR="007B48CC" w:rsidRDefault="00E90905">
      <w:pPr>
        <w:pStyle w:val="ListParagraph"/>
        <w:numPr>
          <w:ilvl w:val="0"/>
          <w:numId w:val="14"/>
        </w:numPr>
        <w:tabs>
          <w:tab w:val="left" w:pos="1321"/>
        </w:tabs>
        <w:spacing w:before="101" w:line="276" w:lineRule="auto"/>
        <w:ind w:right="214"/>
        <w:jc w:val="both"/>
        <w:rPr>
          <w:sz w:val="24"/>
        </w:rPr>
      </w:pPr>
      <w:r>
        <w:rPr>
          <w:sz w:val="24"/>
        </w:rPr>
        <w:t>Any amendments to the body of this Framework Document must be agreed between DCLG and THO or their representatives. The Annexes to this Framework Document may be amended by agreement between THO and the Permanent Secretary for DCLG or their representatives (normally the Director of Housing Standards and Support) and an up-to-date version published on THO’s</w:t>
      </w:r>
      <w:r>
        <w:rPr>
          <w:spacing w:val="-2"/>
          <w:sz w:val="24"/>
        </w:rPr>
        <w:t xml:space="preserve"> </w:t>
      </w:r>
      <w:r>
        <w:rPr>
          <w:sz w:val="24"/>
        </w:rPr>
        <w:t>website.</w:t>
      </w:r>
    </w:p>
    <w:p w14:paraId="094033E8" w14:textId="77777777" w:rsidR="007B48CC" w:rsidRDefault="007B48CC">
      <w:pPr>
        <w:pStyle w:val="BodyText"/>
        <w:spacing w:before="3"/>
        <w:rPr>
          <w:sz w:val="27"/>
        </w:rPr>
      </w:pPr>
    </w:p>
    <w:p w14:paraId="7F1412AF" w14:textId="77777777" w:rsidR="007B48CC" w:rsidRDefault="00E90905">
      <w:pPr>
        <w:pStyle w:val="ListParagraph"/>
        <w:numPr>
          <w:ilvl w:val="0"/>
          <w:numId w:val="14"/>
        </w:numPr>
        <w:tabs>
          <w:tab w:val="left" w:pos="1321"/>
        </w:tabs>
        <w:spacing w:line="276" w:lineRule="auto"/>
        <w:ind w:right="218"/>
        <w:jc w:val="both"/>
        <w:rPr>
          <w:sz w:val="24"/>
        </w:rPr>
      </w:pPr>
      <w:r>
        <w:rPr>
          <w:sz w:val="24"/>
        </w:rPr>
        <w:t>Both DCLG and THO will carry out their responsibilities under this Framework Document, and deal with requests associated with their respective responsibilities in a timely</w:t>
      </w:r>
      <w:r>
        <w:rPr>
          <w:spacing w:val="-5"/>
          <w:sz w:val="24"/>
        </w:rPr>
        <w:t xml:space="preserve"> </w:t>
      </w:r>
      <w:r>
        <w:rPr>
          <w:sz w:val="24"/>
        </w:rPr>
        <w:t>manner.</w:t>
      </w:r>
    </w:p>
    <w:p w14:paraId="401DC7BF" w14:textId="77777777" w:rsidR="007B48CC" w:rsidRDefault="007B48CC">
      <w:pPr>
        <w:pStyle w:val="BodyText"/>
        <w:spacing w:before="4"/>
        <w:rPr>
          <w:sz w:val="27"/>
        </w:rPr>
      </w:pPr>
    </w:p>
    <w:p w14:paraId="5184D41C" w14:textId="77777777" w:rsidR="007B48CC" w:rsidRDefault="00E90905">
      <w:pPr>
        <w:pStyle w:val="ListParagraph"/>
        <w:numPr>
          <w:ilvl w:val="0"/>
          <w:numId w:val="14"/>
        </w:numPr>
        <w:tabs>
          <w:tab w:val="left" w:pos="1321"/>
        </w:tabs>
        <w:spacing w:line="276" w:lineRule="auto"/>
        <w:ind w:right="214"/>
        <w:jc w:val="both"/>
        <w:rPr>
          <w:sz w:val="24"/>
        </w:rPr>
      </w:pPr>
      <w:r>
        <w:rPr>
          <w:sz w:val="24"/>
        </w:rPr>
        <w:t>Any questions regarding the interpretation of this Framework Document will be resolved where possible through agreement between the Permanent Secretary or his or her representative (normally the DCLG Director of Housing Standards and Support) and</w:t>
      </w:r>
      <w:r>
        <w:rPr>
          <w:spacing w:val="-7"/>
          <w:sz w:val="24"/>
        </w:rPr>
        <w:t xml:space="preserve"> </w:t>
      </w:r>
      <w:r>
        <w:rPr>
          <w:sz w:val="24"/>
        </w:rPr>
        <w:t>THO.</w:t>
      </w:r>
    </w:p>
    <w:p w14:paraId="6FCA1B53"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3787213C" w14:textId="77777777" w:rsidR="007B48CC" w:rsidRDefault="00E90905">
      <w:pPr>
        <w:pStyle w:val="Heading1"/>
        <w:spacing w:before="154"/>
      </w:pPr>
      <w:r>
        <w:lastRenderedPageBreak/>
        <w:t>Contents</w:t>
      </w:r>
    </w:p>
    <w:p w14:paraId="5612CBCB" w14:textId="77777777" w:rsidR="007B48CC" w:rsidRDefault="007B48CC">
      <w:pPr>
        <w:pStyle w:val="BodyText"/>
        <w:spacing w:before="7" w:after="1"/>
        <w:rPr>
          <w:b/>
          <w:sz w:val="22"/>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5000"/>
        <w:gridCol w:w="2105"/>
      </w:tblGrid>
      <w:tr w:rsidR="007B48CC" w14:paraId="18FE373C" w14:textId="77777777">
        <w:trPr>
          <w:trHeight w:val="316"/>
        </w:trPr>
        <w:tc>
          <w:tcPr>
            <w:tcW w:w="1913" w:type="dxa"/>
          </w:tcPr>
          <w:p w14:paraId="2A211226" w14:textId="77777777" w:rsidR="007B48CC" w:rsidRDefault="007B48CC">
            <w:pPr>
              <w:pStyle w:val="TableParagraph"/>
              <w:spacing w:line="240" w:lineRule="auto"/>
              <w:ind w:left="0"/>
              <w:rPr>
                <w:rFonts w:ascii="Times New Roman"/>
                <w:sz w:val="24"/>
              </w:rPr>
            </w:pPr>
          </w:p>
        </w:tc>
        <w:tc>
          <w:tcPr>
            <w:tcW w:w="5000" w:type="dxa"/>
          </w:tcPr>
          <w:p w14:paraId="51C208C1" w14:textId="77777777" w:rsidR="007B48CC" w:rsidRDefault="007B48CC">
            <w:pPr>
              <w:pStyle w:val="TableParagraph"/>
              <w:spacing w:line="240" w:lineRule="auto"/>
              <w:ind w:left="0"/>
              <w:rPr>
                <w:rFonts w:ascii="Times New Roman"/>
                <w:sz w:val="24"/>
              </w:rPr>
            </w:pPr>
          </w:p>
        </w:tc>
        <w:tc>
          <w:tcPr>
            <w:tcW w:w="2105" w:type="dxa"/>
          </w:tcPr>
          <w:p w14:paraId="1BD6C2DC" w14:textId="77777777" w:rsidR="007B48CC" w:rsidRDefault="00E90905">
            <w:pPr>
              <w:pStyle w:val="TableParagraph"/>
              <w:rPr>
                <w:sz w:val="24"/>
              </w:rPr>
            </w:pPr>
            <w:r>
              <w:rPr>
                <w:sz w:val="24"/>
              </w:rPr>
              <w:t>Page</w:t>
            </w:r>
          </w:p>
        </w:tc>
      </w:tr>
      <w:tr w:rsidR="007B48CC" w14:paraId="6227FAAA" w14:textId="77777777">
        <w:trPr>
          <w:trHeight w:val="635"/>
        </w:trPr>
        <w:tc>
          <w:tcPr>
            <w:tcW w:w="1913" w:type="dxa"/>
          </w:tcPr>
          <w:p w14:paraId="6B99ACF2" w14:textId="77777777" w:rsidR="007B48CC" w:rsidRDefault="00E90905">
            <w:pPr>
              <w:pStyle w:val="TableParagraph"/>
              <w:rPr>
                <w:sz w:val="24"/>
              </w:rPr>
            </w:pPr>
            <w:r>
              <w:rPr>
                <w:sz w:val="24"/>
              </w:rPr>
              <w:t>Chapter 1</w:t>
            </w:r>
          </w:p>
        </w:tc>
        <w:tc>
          <w:tcPr>
            <w:tcW w:w="5000" w:type="dxa"/>
          </w:tcPr>
          <w:p w14:paraId="018CA9F1" w14:textId="77777777" w:rsidR="007B48CC" w:rsidRDefault="00E90905">
            <w:pPr>
              <w:pStyle w:val="TableParagraph"/>
              <w:rPr>
                <w:sz w:val="24"/>
              </w:rPr>
            </w:pPr>
            <w:r>
              <w:rPr>
                <w:sz w:val="24"/>
              </w:rPr>
              <w:t>Purpose of THO</w:t>
            </w:r>
          </w:p>
        </w:tc>
        <w:tc>
          <w:tcPr>
            <w:tcW w:w="2105" w:type="dxa"/>
          </w:tcPr>
          <w:p w14:paraId="0C6036EE" w14:textId="77777777" w:rsidR="007B48CC" w:rsidRDefault="00E90905">
            <w:pPr>
              <w:pStyle w:val="TableParagraph"/>
              <w:rPr>
                <w:sz w:val="24"/>
              </w:rPr>
            </w:pPr>
            <w:r>
              <w:rPr>
                <w:w w:val="99"/>
                <w:sz w:val="24"/>
              </w:rPr>
              <w:t>5</w:t>
            </w:r>
          </w:p>
        </w:tc>
      </w:tr>
      <w:tr w:rsidR="007B48CC" w14:paraId="500D8C6F" w14:textId="77777777">
        <w:trPr>
          <w:trHeight w:val="635"/>
        </w:trPr>
        <w:tc>
          <w:tcPr>
            <w:tcW w:w="1913" w:type="dxa"/>
          </w:tcPr>
          <w:p w14:paraId="32C8258F" w14:textId="77777777" w:rsidR="007B48CC" w:rsidRDefault="00E90905">
            <w:pPr>
              <w:pStyle w:val="TableParagraph"/>
              <w:rPr>
                <w:sz w:val="24"/>
              </w:rPr>
            </w:pPr>
            <w:r>
              <w:rPr>
                <w:sz w:val="24"/>
              </w:rPr>
              <w:t>Chapter 2</w:t>
            </w:r>
          </w:p>
        </w:tc>
        <w:tc>
          <w:tcPr>
            <w:tcW w:w="5000" w:type="dxa"/>
          </w:tcPr>
          <w:p w14:paraId="4355C05B" w14:textId="77777777" w:rsidR="007B48CC" w:rsidRDefault="00E90905">
            <w:pPr>
              <w:pStyle w:val="TableParagraph"/>
              <w:rPr>
                <w:sz w:val="24"/>
              </w:rPr>
            </w:pPr>
            <w:r>
              <w:rPr>
                <w:sz w:val="24"/>
              </w:rPr>
              <w:t>Accountability</w:t>
            </w:r>
          </w:p>
        </w:tc>
        <w:tc>
          <w:tcPr>
            <w:tcW w:w="2105" w:type="dxa"/>
          </w:tcPr>
          <w:p w14:paraId="4BC141FE" w14:textId="77777777" w:rsidR="007B48CC" w:rsidRDefault="00E90905">
            <w:pPr>
              <w:pStyle w:val="TableParagraph"/>
              <w:rPr>
                <w:sz w:val="24"/>
              </w:rPr>
            </w:pPr>
            <w:r>
              <w:rPr>
                <w:w w:val="99"/>
                <w:sz w:val="24"/>
              </w:rPr>
              <w:t>6</w:t>
            </w:r>
          </w:p>
        </w:tc>
      </w:tr>
      <w:tr w:rsidR="007B48CC" w14:paraId="6D780392" w14:textId="77777777">
        <w:trPr>
          <w:trHeight w:val="350"/>
        </w:trPr>
        <w:tc>
          <w:tcPr>
            <w:tcW w:w="1913" w:type="dxa"/>
          </w:tcPr>
          <w:p w14:paraId="32D14C07" w14:textId="77777777" w:rsidR="007B48CC" w:rsidRDefault="00E90905">
            <w:pPr>
              <w:pStyle w:val="TableParagraph"/>
              <w:rPr>
                <w:sz w:val="24"/>
              </w:rPr>
            </w:pPr>
            <w:r>
              <w:rPr>
                <w:sz w:val="24"/>
              </w:rPr>
              <w:t>Chapter 3</w:t>
            </w:r>
          </w:p>
        </w:tc>
        <w:tc>
          <w:tcPr>
            <w:tcW w:w="5000" w:type="dxa"/>
          </w:tcPr>
          <w:p w14:paraId="225E69E2" w14:textId="77777777" w:rsidR="007B48CC" w:rsidRDefault="00E90905">
            <w:pPr>
              <w:pStyle w:val="TableParagraph"/>
              <w:rPr>
                <w:sz w:val="24"/>
              </w:rPr>
            </w:pPr>
            <w:r>
              <w:rPr>
                <w:sz w:val="24"/>
              </w:rPr>
              <w:t>Accounting Officer Responsibilities</w:t>
            </w:r>
          </w:p>
        </w:tc>
        <w:tc>
          <w:tcPr>
            <w:tcW w:w="2105" w:type="dxa"/>
          </w:tcPr>
          <w:p w14:paraId="1B10C591" w14:textId="77777777" w:rsidR="007B48CC" w:rsidRDefault="00E90905">
            <w:pPr>
              <w:pStyle w:val="TableParagraph"/>
              <w:rPr>
                <w:sz w:val="24"/>
              </w:rPr>
            </w:pPr>
            <w:r>
              <w:rPr>
                <w:w w:val="99"/>
                <w:sz w:val="24"/>
              </w:rPr>
              <w:t>8</w:t>
            </w:r>
          </w:p>
        </w:tc>
      </w:tr>
      <w:tr w:rsidR="007B48CC" w14:paraId="5CAC5B33" w14:textId="77777777">
        <w:trPr>
          <w:trHeight w:val="595"/>
        </w:trPr>
        <w:tc>
          <w:tcPr>
            <w:tcW w:w="1913" w:type="dxa"/>
          </w:tcPr>
          <w:p w14:paraId="302DE536" w14:textId="77777777" w:rsidR="007B48CC" w:rsidRDefault="00E90905">
            <w:pPr>
              <w:pStyle w:val="TableParagraph"/>
              <w:spacing w:line="240" w:lineRule="auto"/>
              <w:rPr>
                <w:sz w:val="24"/>
              </w:rPr>
            </w:pPr>
            <w:r>
              <w:rPr>
                <w:sz w:val="24"/>
              </w:rPr>
              <w:t>Chapter 4</w:t>
            </w:r>
          </w:p>
        </w:tc>
        <w:tc>
          <w:tcPr>
            <w:tcW w:w="5000" w:type="dxa"/>
          </w:tcPr>
          <w:p w14:paraId="6BBF151E" w14:textId="77777777" w:rsidR="007B48CC" w:rsidRDefault="00E90905">
            <w:pPr>
              <w:pStyle w:val="TableParagraph"/>
              <w:spacing w:line="240" w:lineRule="auto"/>
              <w:rPr>
                <w:sz w:val="24"/>
              </w:rPr>
            </w:pPr>
            <w:r>
              <w:rPr>
                <w:sz w:val="24"/>
              </w:rPr>
              <w:t>Governance and Structure</w:t>
            </w:r>
          </w:p>
        </w:tc>
        <w:tc>
          <w:tcPr>
            <w:tcW w:w="2105" w:type="dxa"/>
          </w:tcPr>
          <w:p w14:paraId="1C9A0B33" w14:textId="77777777" w:rsidR="007B48CC" w:rsidRDefault="00E90905">
            <w:pPr>
              <w:pStyle w:val="TableParagraph"/>
              <w:spacing w:line="240" w:lineRule="auto"/>
              <w:rPr>
                <w:sz w:val="24"/>
              </w:rPr>
            </w:pPr>
            <w:r>
              <w:rPr>
                <w:sz w:val="24"/>
              </w:rPr>
              <w:t>11</w:t>
            </w:r>
          </w:p>
        </w:tc>
      </w:tr>
      <w:tr w:rsidR="007B48CC" w14:paraId="0BD7DA2E" w14:textId="77777777">
        <w:trPr>
          <w:trHeight w:val="542"/>
        </w:trPr>
        <w:tc>
          <w:tcPr>
            <w:tcW w:w="1913" w:type="dxa"/>
          </w:tcPr>
          <w:p w14:paraId="5B338BCB" w14:textId="77777777" w:rsidR="007B48CC" w:rsidRDefault="00E90905">
            <w:pPr>
              <w:pStyle w:val="TableParagraph"/>
              <w:spacing w:line="271" w:lineRule="exact"/>
              <w:rPr>
                <w:sz w:val="24"/>
              </w:rPr>
            </w:pPr>
            <w:r>
              <w:rPr>
                <w:sz w:val="24"/>
              </w:rPr>
              <w:t>Chapter 5</w:t>
            </w:r>
          </w:p>
        </w:tc>
        <w:tc>
          <w:tcPr>
            <w:tcW w:w="5000" w:type="dxa"/>
          </w:tcPr>
          <w:p w14:paraId="6386C389" w14:textId="77777777" w:rsidR="007B48CC" w:rsidRDefault="00E90905">
            <w:pPr>
              <w:pStyle w:val="TableParagraph"/>
              <w:spacing w:line="271" w:lineRule="exact"/>
              <w:rPr>
                <w:sz w:val="24"/>
              </w:rPr>
            </w:pPr>
            <w:r>
              <w:rPr>
                <w:sz w:val="24"/>
              </w:rPr>
              <w:t>THO’s Staff</w:t>
            </w:r>
          </w:p>
        </w:tc>
        <w:tc>
          <w:tcPr>
            <w:tcW w:w="2105" w:type="dxa"/>
          </w:tcPr>
          <w:p w14:paraId="440841FA" w14:textId="77777777" w:rsidR="007B48CC" w:rsidRDefault="00E90905">
            <w:pPr>
              <w:pStyle w:val="TableParagraph"/>
              <w:spacing w:line="271" w:lineRule="exact"/>
              <w:rPr>
                <w:sz w:val="24"/>
              </w:rPr>
            </w:pPr>
            <w:r>
              <w:rPr>
                <w:sz w:val="24"/>
              </w:rPr>
              <w:t>14</w:t>
            </w:r>
          </w:p>
        </w:tc>
      </w:tr>
      <w:tr w:rsidR="007B48CC" w14:paraId="5284789A" w14:textId="77777777">
        <w:trPr>
          <w:trHeight w:val="544"/>
        </w:trPr>
        <w:tc>
          <w:tcPr>
            <w:tcW w:w="1913" w:type="dxa"/>
          </w:tcPr>
          <w:p w14:paraId="72D9DFB0" w14:textId="77777777" w:rsidR="007B48CC" w:rsidRDefault="00E90905">
            <w:pPr>
              <w:pStyle w:val="TableParagraph"/>
              <w:rPr>
                <w:sz w:val="24"/>
              </w:rPr>
            </w:pPr>
            <w:r>
              <w:rPr>
                <w:sz w:val="24"/>
              </w:rPr>
              <w:t>Chapter 6</w:t>
            </w:r>
          </w:p>
        </w:tc>
        <w:tc>
          <w:tcPr>
            <w:tcW w:w="5000" w:type="dxa"/>
          </w:tcPr>
          <w:p w14:paraId="2B675FFF" w14:textId="77777777" w:rsidR="007B48CC" w:rsidRDefault="00E90905">
            <w:pPr>
              <w:pStyle w:val="TableParagraph"/>
              <w:rPr>
                <w:sz w:val="24"/>
              </w:rPr>
            </w:pPr>
            <w:r>
              <w:rPr>
                <w:sz w:val="24"/>
              </w:rPr>
              <w:t>Annual Report and Accounts</w:t>
            </w:r>
          </w:p>
        </w:tc>
        <w:tc>
          <w:tcPr>
            <w:tcW w:w="2105" w:type="dxa"/>
          </w:tcPr>
          <w:p w14:paraId="37DA7342" w14:textId="77777777" w:rsidR="007B48CC" w:rsidRDefault="00E90905">
            <w:pPr>
              <w:pStyle w:val="TableParagraph"/>
              <w:spacing w:line="271" w:lineRule="exact"/>
              <w:rPr>
                <w:sz w:val="24"/>
              </w:rPr>
            </w:pPr>
            <w:r>
              <w:rPr>
                <w:sz w:val="24"/>
              </w:rPr>
              <w:t>16</w:t>
            </w:r>
          </w:p>
        </w:tc>
      </w:tr>
      <w:tr w:rsidR="007B48CC" w14:paraId="322BB342" w14:textId="77777777">
        <w:trPr>
          <w:trHeight w:val="633"/>
        </w:trPr>
        <w:tc>
          <w:tcPr>
            <w:tcW w:w="1913" w:type="dxa"/>
          </w:tcPr>
          <w:p w14:paraId="3F138CAE" w14:textId="77777777" w:rsidR="007B48CC" w:rsidRDefault="00E90905">
            <w:pPr>
              <w:pStyle w:val="TableParagraph"/>
              <w:rPr>
                <w:sz w:val="24"/>
              </w:rPr>
            </w:pPr>
            <w:r>
              <w:rPr>
                <w:sz w:val="24"/>
              </w:rPr>
              <w:t>Chapter 7</w:t>
            </w:r>
          </w:p>
        </w:tc>
        <w:tc>
          <w:tcPr>
            <w:tcW w:w="5000" w:type="dxa"/>
          </w:tcPr>
          <w:p w14:paraId="6C08B5CB" w14:textId="77777777" w:rsidR="007B48CC" w:rsidRDefault="00E90905">
            <w:pPr>
              <w:pStyle w:val="TableParagraph"/>
              <w:rPr>
                <w:sz w:val="24"/>
              </w:rPr>
            </w:pPr>
            <w:r>
              <w:rPr>
                <w:sz w:val="24"/>
              </w:rPr>
              <w:t>Audit</w:t>
            </w:r>
          </w:p>
        </w:tc>
        <w:tc>
          <w:tcPr>
            <w:tcW w:w="2105" w:type="dxa"/>
          </w:tcPr>
          <w:p w14:paraId="25330AA2" w14:textId="77777777" w:rsidR="007B48CC" w:rsidRDefault="00E90905">
            <w:pPr>
              <w:pStyle w:val="TableParagraph"/>
              <w:rPr>
                <w:sz w:val="24"/>
              </w:rPr>
            </w:pPr>
            <w:r>
              <w:rPr>
                <w:sz w:val="24"/>
              </w:rPr>
              <w:t>17</w:t>
            </w:r>
          </w:p>
        </w:tc>
      </w:tr>
      <w:tr w:rsidR="007B48CC" w14:paraId="22962A31" w14:textId="77777777">
        <w:trPr>
          <w:trHeight w:val="635"/>
        </w:trPr>
        <w:tc>
          <w:tcPr>
            <w:tcW w:w="1913" w:type="dxa"/>
          </w:tcPr>
          <w:p w14:paraId="5188AC9D" w14:textId="77777777" w:rsidR="007B48CC" w:rsidRDefault="00E90905">
            <w:pPr>
              <w:pStyle w:val="TableParagraph"/>
              <w:rPr>
                <w:sz w:val="24"/>
              </w:rPr>
            </w:pPr>
            <w:r>
              <w:rPr>
                <w:sz w:val="24"/>
              </w:rPr>
              <w:t>Chapter 8</w:t>
            </w:r>
          </w:p>
        </w:tc>
        <w:tc>
          <w:tcPr>
            <w:tcW w:w="5000" w:type="dxa"/>
          </w:tcPr>
          <w:p w14:paraId="0352E160" w14:textId="77777777" w:rsidR="007B48CC" w:rsidRDefault="00E90905">
            <w:pPr>
              <w:pStyle w:val="TableParagraph"/>
              <w:rPr>
                <w:sz w:val="24"/>
              </w:rPr>
            </w:pPr>
            <w:r>
              <w:rPr>
                <w:sz w:val="24"/>
              </w:rPr>
              <w:t>Management and Financial Responsibilities</w:t>
            </w:r>
          </w:p>
        </w:tc>
        <w:tc>
          <w:tcPr>
            <w:tcW w:w="2105" w:type="dxa"/>
          </w:tcPr>
          <w:p w14:paraId="1D9CC74A" w14:textId="77777777" w:rsidR="007B48CC" w:rsidRDefault="00E90905">
            <w:pPr>
              <w:pStyle w:val="TableParagraph"/>
              <w:rPr>
                <w:sz w:val="24"/>
              </w:rPr>
            </w:pPr>
            <w:r>
              <w:rPr>
                <w:sz w:val="24"/>
              </w:rPr>
              <w:t>19</w:t>
            </w:r>
          </w:p>
        </w:tc>
      </w:tr>
      <w:tr w:rsidR="007B48CC" w14:paraId="60279161" w14:textId="77777777">
        <w:trPr>
          <w:trHeight w:val="636"/>
        </w:trPr>
        <w:tc>
          <w:tcPr>
            <w:tcW w:w="1913" w:type="dxa"/>
          </w:tcPr>
          <w:p w14:paraId="75DD6F24" w14:textId="77777777" w:rsidR="007B48CC" w:rsidRDefault="00E90905">
            <w:pPr>
              <w:pStyle w:val="TableParagraph"/>
              <w:rPr>
                <w:sz w:val="24"/>
              </w:rPr>
            </w:pPr>
            <w:r>
              <w:rPr>
                <w:sz w:val="24"/>
              </w:rPr>
              <w:t>Chapter 9</w:t>
            </w:r>
          </w:p>
        </w:tc>
        <w:tc>
          <w:tcPr>
            <w:tcW w:w="5000" w:type="dxa"/>
          </w:tcPr>
          <w:p w14:paraId="4AFDB402" w14:textId="77777777" w:rsidR="007B48CC" w:rsidRDefault="00E90905">
            <w:pPr>
              <w:pStyle w:val="TableParagraph"/>
              <w:rPr>
                <w:sz w:val="24"/>
              </w:rPr>
            </w:pPr>
            <w:r>
              <w:rPr>
                <w:sz w:val="24"/>
              </w:rPr>
              <w:t>Arrangements for Review</w:t>
            </w:r>
          </w:p>
        </w:tc>
        <w:tc>
          <w:tcPr>
            <w:tcW w:w="2105" w:type="dxa"/>
          </w:tcPr>
          <w:p w14:paraId="01EF9B5B" w14:textId="77777777" w:rsidR="007B48CC" w:rsidRDefault="00E90905">
            <w:pPr>
              <w:pStyle w:val="TableParagraph"/>
              <w:rPr>
                <w:sz w:val="24"/>
              </w:rPr>
            </w:pPr>
            <w:r>
              <w:rPr>
                <w:sz w:val="24"/>
              </w:rPr>
              <w:t>24</w:t>
            </w:r>
          </w:p>
        </w:tc>
      </w:tr>
      <w:tr w:rsidR="007B48CC" w14:paraId="295B40B9" w14:textId="77777777">
        <w:trPr>
          <w:trHeight w:val="633"/>
        </w:trPr>
        <w:tc>
          <w:tcPr>
            <w:tcW w:w="1913" w:type="dxa"/>
          </w:tcPr>
          <w:p w14:paraId="69010D3B" w14:textId="77777777" w:rsidR="007B48CC" w:rsidRDefault="00E90905">
            <w:pPr>
              <w:pStyle w:val="TableParagraph"/>
              <w:rPr>
                <w:sz w:val="24"/>
              </w:rPr>
            </w:pPr>
            <w:r>
              <w:rPr>
                <w:sz w:val="24"/>
              </w:rPr>
              <w:t>Annex A</w:t>
            </w:r>
          </w:p>
        </w:tc>
        <w:tc>
          <w:tcPr>
            <w:tcW w:w="5000" w:type="dxa"/>
          </w:tcPr>
          <w:p w14:paraId="68657CDA" w14:textId="77777777" w:rsidR="007B48CC" w:rsidRDefault="00E90905">
            <w:pPr>
              <w:pStyle w:val="TableParagraph"/>
              <w:spacing w:line="240" w:lineRule="auto"/>
              <w:rPr>
                <w:sz w:val="24"/>
              </w:rPr>
            </w:pPr>
            <w:r>
              <w:rPr>
                <w:sz w:val="24"/>
              </w:rPr>
              <w:t>Audit and Risk Assurance Committee Terms of Reference</w:t>
            </w:r>
          </w:p>
        </w:tc>
        <w:tc>
          <w:tcPr>
            <w:tcW w:w="2105" w:type="dxa"/>
          </w:tcPr>
          <w:p w14:paraId="1873B108" w14:textId="77777777" w:rsidR="007B48CC" w:rsidRDefault="00E90905">
            <w:pPr>
              <w:pStyle w:val="TableParagraph"/>
              <w:rPr>
                <w:sz w:val="24"/>
              </w:rPr>
            </w:pPr>
            <w:r>
              <w:rPr>
                <w:sz w:val="24"/>
              </w:rPr>
              <w:t>25</w:t>
            </w:r>
          </w:p>
        </w:tc>
      </w:tr>
      <w:tr w:rsidR="007B48CC" w14:paraId="7E8B6F62" w14:textId="77777777">
        <w:trPr>
          <w:trHeight w:val="635"/>
        </w:trPr>
        <w:tc>
          <w:tcPr>
            <w:tcW w:w="1913" w:type="dxa"/>
          </w:tcPr>
          <w:p w14:paraId="2CCEB141" w14:textId="77777777" w:rsidR="007B48CC" w:rsidRDefault="00E90905">
            <w:pPr>
              <w:pStyle w:val="TableParagraph"/>
              <w:rPr>
                <w:sz w:val="24"/>
              </w:rPr>
            </w:pPr>
            <w:r>
              <w:rPr>
                <w:sz w:val="24"/>
              </w:rPr>
              <w:t>Annex B</w:t>
            </w:r>
          </w:p>
        </w:tc>
        <w:tc>
          <w:tcPr>
            <w:tcW w:w="5000" w:type="dxa"/>
          </w:tcPr>
          <w:p w14:paraId="1072DF5C" w14:textId="77777777" w:rsidR="007B48CC" w:rsidRDefault="00E90905">
            <w:pPr>
              <w:pStyle w:val="TableParagraph"/>
              <w:rPr>
                <w:sz w:val="24"/>
              </w:rPr>
            </w:pPr>
            <w:r>
              <w:rPr>
                <w:sz w:val="24"/>
              </w:rPr>
              <w:t>Panel of Advisors Terms of Reference</w:t>
            </w:r>
          </w:p>
        </w:tc>
        <w:tc>
          <w:tcPr>
            <w:tcW w:w="2105" w:type="dxa"/>
          </w:tcPr>
          <w:p w14:paraId="21EF909C" w14:textId="77777777" w:rsidR="007B48CC" w:rsidRDefault="00E90905">
            <w:pPr>
              <w:pStyle w:val="TableParagraph"/>
              <w:rPr>
                <w:sz w:val="24"/>
              </w:rPr>
            </w:pPr>
            <w:r>
              <w:rPr>
                <w:sz w:val="24"/>
              </w:rPr>
              <w:t>29</w:t>
            </w:r>
          </w:p>
        </w:tc>
      </w:tr>
      <w:tr w:rsidR="007B48CC" w14:paraId="0F6A8D13" w14:textId="77777777">
        <w:trPr>
          <w:trHeight w:val="551"/>
        </w:trPr>
        <w:tc>
          <w:tcPr>
            <w:tcW w:w="1913" w:type="dxa"/>
          </w:tcPr>
          <w:p w14:paraId="463D0414" w14:textId="77777777" w:rsidR="007B48CC" w:rsidRDefault="00E90905">
            <w:pPr>
              <w:pStyle w:val="TableParagraph"/>
              <w:spacing w:line="271" w:lineRule="exact"/>
              <w:rPr>
                <w:sz w:val="24"/>
              </w:rPr>
            </w:pPr>
            <w:r>
              <w:rPr>
                <w:sz w:val="24"/>
              </w:rPr>
              <w:t>Annex C</w:t>
            </w:r>
          </w:p>
        </w:tc>
        <w:tc>
          <w:tcPr>
            <w:tcW w:w="5000" w:type="dxa"/>
          </w:tcPr>
          <w:p w14:paraId="2DD24850" w14:textId="77777777" w:rsidR="007B48CC" w:rsidRDefault="00E90905">
            <w:pPr>
              <w:pStyle w:val="TableParagraph"/>
              <w:tabs>
                <w:tab w:val="left" w:pos="896"/>
                <w:tab w:val="left" w:pos="1512"/>
                <w:tab w:val="left" w:pos="3823"/>
              </w:tabs>
              <w:spacing w:line="276" w:lineRule="exact"/>
              <w:ind w:right="96"/>
              <w:rPr>
                <w:sz w:val="24"/>
              </w:rPr>
            </w:pPr>
            <w:r>
              <w:rPr>
                <w:sz w:val="24"/>
              </w:rPr>
              <w:t>List</w:t>
            </w:r>
            <w:r>
              <w:rPr>
                <w:sz w:val="24"/>
              </w:rPr>
              <w:tab/>
              <w:t>of</w:t>
            </w:r>
            <w:r>
              <w:rPr>
                <w:sz w:val="24"/>
              </w:rPr>
              <w:tab/>
              <w:t>Government-wide</w:t>
            </w:r>
            <w:r>
              <w:rPr>
                <w:sz w:val="24"/>
              </w:rPr>
              <w:tab/>
            </w:r>
            <w:r>
              <w:rPr>
                <w:spacing w:val="-1"/>
                <w:sz w:val="24"/>
              </w:rPr>
              <w:t xml:space="preserve">Corporate </w:t>
            </w:r>
            <w:r>
              <w:rPr>
                <w:sz w:val="24"/>
              </w:rPr>
              <w:t>Guidance</w:t>
            </w:r>
            <w:r>
              <w:rPr>
                <w:spacing w:val="-1"/>
                <w:sz w:val="24"/>
              </w:rPr>
              <w:t xml:space="preserve"> </w:t>
            </w:r>
            <w:r>
              <w:rPr>
                <w:sz w:val="24"/>
              </w:rPr>
              <w:t>Instructions</w:t>
            </w:r>
          </w:p>
        </w:tc>
        <w:tc>
          <w:tcPr>
            <w:tcW w:w="2105" w:type="dxa"/>
          </w:tcPr>
          <w:p w14:paraId="772CDEC1" w14:textId="77777777" w:rsidR="007B48CC" w:rsidRDefault="00E90905">
            <w:pPr>
              <w:pStyle w:val="TableParagraph"/>
              <w:spacing w:line="271" w:lineRule="exact"/>
              <w:rPr>
                <w:sz w:val="24"/>
              </w:rPr>
            </w:pPr>
            <w:r>
              <w:rPr>
                <w:sz w:val="24"/>
              </w:rPr>
              <w:t>31</w:t>
            </w:r>
          </w:p>
        </w:tc>
      </w:tr>
      <w:tr w:rsidR="007B48CC" w14:paraId="5525C633" w14:textId="77777777">
        <w:trPr>
          <w:trHeight w:val="352"/>
        </w:trPr>
        <w:tc>
          <w:tcPr>
            <w:tcW w:w="1913" w:type="dxa"/>
          </w:tcPr>
          <w:p w14:paraId="05B2C83B" w14:textId="77777777" w:rsidR="007B48CC" w:rsidRDefault="00E90905">
            <w:pPr>
              <w:pStyle w:val="TableParagraph"/>
              <w:spacing w:line="271" w:lineRule="exact"/>
              <w:rPr>
                <w:sz w:val="24"/>
              </w:rPr>
            </w:pPr>
            <w:r>
              <w:rPr>
                <w:sz w:val="24"/>
              </w:rPr>
              <w:t>Annex D</w:t>
            </w:r>
          </w:p>
        </w:tc>
        <w:tc>
          <w:tcPr>
            <w:tcW w:w="5000" w:type="dxa"/>
          </w:tcPr>
          <w:p w14:paraId="36B826FF" w14:textId="77777777" w:rsidR="007B48CC" w:rsidRDefault="00E90905">
            <w:pPr>
              <w:pStyle w:val="TableParagraph"/>
              <w:spacing w:line="271" w:lineRule="exact"/>
              <w:rPr>
                <w:sz w:val="24"/>
              </w:rPr>
            </w:pPr>
            <w:r>
              <w:rPr>
                <w:sz w:val="24"/>
              </w:rPr>
              <w:t>THO’s Delegated Authorities</w:t>
            </w:r>
          </w:p>
        </w:tc>
        <w:tc>
          <w:tcPr>
            <w:tcW w:w="2105" w:type="dxa"/>
          </w:tcPr>
          <w:p w14:paraId="51BCDAE1" w14:textId="77777777" w:rsidR="007B48CC" w:rsidRDefault="00E90905">
            <w:pPr>
              <w:pStyle w:val="TableParagraph"/>
              <w:spacing w:line="271" w:lineRule="exact"/>
              <w:rPr>
                <w:sz w:val="24"/>
              </w:rPr>
            </w:pPr>
            <w:r>
              <w:rPr>
                <w:sz w:val="24"/>
              </w:rPr>
              <w:t>33</w:t>
            </w:r>
          </w:p>
        </w:tc>
      </w:tr>
    </w:tbl>
    <w:p w14:paraId="253171EA" w14:textId="77777777" w:rsidR="007B48CC" w:rsidRDefault="007B48CC">
      <w:pPr>
        <w:spacing w:line="271" w:lineRule="exact"/>
        <w:rPr>
          <w:sz w:val="24"/>
        </w:rPr>
        <w:sectPr w:rsidR="007B48CC">
          <w:pgSz w:w="11910" w:h="16840"/>
          <w:pgMar w:top="1580" w:right="1220" w:bottom="1240" w:left="840" w:header="0" w:footer="1054" w:gutter="0"/>
          <w:cols w:space="720"/>
        </w:sectPr>
      </w:pPr>
    </w:p>
    <w:p w14:paraId="74EBDA3F" w14:textId="77777777" w:rsidR="007B48CC" w:rsidRDefault="00E90905">
      <w:pPr>
        <w:pStyle w:val="ListParagraph"/>
        <w:numPr>
          <w:ilvl w:val="0"/>
          <w:numId w:val="13"/>
        </w:numPr>
        <w:tabs>
          <w:tab w:val="left" w:pos="1166"/>
          <w:tab w:val="left" w:pos="1167"/>
        </w:tabs>
        <w:spacing w:before="77"/>
        <w:rPr>
          <w:b/>
          <w:color w:val="202020"/>
          <w:sz w:val="32"/>
        </w:rPr>
      </w:pPr>
      <w:r>
        <w:rPr>
          <w:b/>
          <w:color w:val="202020"/>
          <w:sz w:val="32"/>
        </w:rPr>
        <w:lastRenderedPageBreak/>
        <w:t>Purpose of</w:t>
      </w:r>
      <w:r>
        <w:rPr>
          <w:b/>
          <w:color w:val="202020"/>
          <w:spacing w:val="-3"/>
          <w:sz w:val="32"/>
        </w:rPr>
        <w:t xml:space="preserve"> </w:t>
      </w:r>
      <w:r>
        <w:rPr>
          <w:b/>
          <w:color w:val="202020"/>
          <w:sz w:val="32"/>
        </w:rPr>
        <w:t>THO</w:t>
      </w:r>
    </w:p>
    <w:p w14:paraId="1720A497" w14:textId="77777777" w:rsidR="007B48CC" w:rsidRDefault="007B48CC">
      <w:pPr>
        <w:pStyle w:val="BodyText"/>
        <w:spacing w:before="8"/>
        <w:rPr>
          <w:b/>
          <w:sz w:val="32"/>
        </w:rPr>
      </w:pPr>
    </w:p>
    <w:p w14:paraId="5A56F884" w14:textId="77777777" w:rsidR="007B48CC" w:rsidRDefault="00E90905">
      <w:pPr>
        <w:pStyle w:val="ListParagraph"/>
        <w:numPr>
          <w:ilvl w:val="1"/>
          <w:numId w:val="13"/>
        </w:numPr>
        <w:tabs>
          <w:tab w:val="left" w:pos="1167"/>
        </w:tabs>
        <w:spacing w:line="276" w:lineRule="auto"/>
        <w:ind w:right="217"/>
        <w:jc w:val="both"/>
        <w:rPr>
          <w:sz w:val="24"/>
        </w:rPr>
      </w:pPr>
      <w:r>
        <w:rPr>
          <w:sz w:val="24"/>
        </w:rPr>
        <w:t>The purpose of THO as set out in the Housing Act 1996, and amended by the Localism Act 2011, is to administer the Housing Ombudsman Scheme and to enable tenants and other individuals to have complaints about member landlords investigated in accordance with the Scheme approved by the Secretary of State. Under the terms of the Scheme approved by the Secretary of State for DCLG (which took effect on 1 April 2013) the role of THO is</w:t>
      </w:r>
      <w:r>
        <w:rPr>
          <w:spacing w:val="-14"/>
          <w:sz w:val="24"/>
        </w:rPr>
        <w:t xml:space="preserve"> </w:t>
      </w:r>
      <w:r>
        <w:rPr>
          <w:sz w:val="24"/>
        </w:rPr>
        <w:t>to:</w:t>
      </w:r>
    </w:p>
    <w:p w14:paraId="5588BA9E" w14:textId="77777777" w:rsidR="007B48CC" w:rsidRDefault="007B48CC">
      <w:pPr>
        <w:pStyle w:val="BodyText"/>
        <w:spacing w:before="4"/>
        <w:rPr>
          <w:sz w:val="27"/>
        </w:rPr>
      </w:pPr>
    </w:p>
    <w:p w14:paraId="796C10FE" w14:textId="77777777" w:rsidR="007B48CC" w:rsidRDefault="00E90905">
      <w:pPr>
        <w:pStyle w:val="ListParagraph"/>
        <w:numPr>
          <w:ilvl w:val="2"/>
          <w:numId w:val="13"/>
        </w:numPr>
        <w:tabs>
          <w:tab w:val="left" w:pos="1680"/>
          <w:tab w:val="left" w:pos="1681"/>
        </w:tabs>
        <w:spacing w:line="273" w:lineRule="auto"/>
        <w:ind w:right="220" w:hanging="360"/>
        <w:rPr>
          <w:sz w:val="24"/>
        </w:rPr>
      </w:pPr>
      <w:r>
        <w:rPr>
          <w:sz w:val="24"/>
        </w:rPr>
        <w:t>resolve disputes involving members of the Scheme, including making awards of compensation or other remedies when appropriate, and</w:t>
      </w:r>
      <w:r>
        <w:rPr>
          <w:spacing w:val="-12"/>
          <w:sz w:val="24"/>
        </w:rPr>
        <w:t xml:space="preserve"> </w:t>
      </w:r>
      <w:r>
        <w:rPr>
          <w:sz w:val="24"/>
        </w:rPr>
        <w:t>to</w:t>
      </w:r>
    </w:p>
    <w:p w14:paraId="41D4D90F" w14:textId="77777777" w:rsidR="007B48CC" w:rsidRDefault="00E90905">
      <w:pPr>
        <w:pStyle w:val="ListParagraph"/>
        <w:numPr>
          <w:ilvl w:val="2"/>
          <w:numId w:val="13"/>
        </w:numPr>
        <w:tabs>
          <w:tab w:val="left" w:pos="1680"/>
          <w:tab w:val="left" w:pos="1681"/>
        </w:tabs>
        <w:spacing w:before="1"/>
        <w:ind w:hanging="361"/>
        <w:rPr>
          <w:sz w:val="24"/>
        </w:rPr>
      </w:pPr>
      <w:r>
        <w:rPr>
          <w:sz w:val="24"/>
        </w:rPr>
        <w:t>support effective landlord-resident dispute resolution by</w:t>
      </w:r>
      <w:r>
        <w:rPr>
          <w:spacing w:val="-7"/>
          <w:sz w:val="24"/>
        </w:rPr>
        <w:t xml:space="preserve"> </w:t>
      </w:r>
      <w:r>
        <w:rPr>
          <w:sz w:val="24"/>
        </w:rPr>
        <w:t>others.</w:t>
      </w:r>
    </w:p>
    <w:p w14:paraId="1D97E6CC" w14:textId="77777777" w:rsidR="007B48CC" w:rsidRDefault="007B48CC">
      <w:pPr>
        <w:pStyle w:val="BodyText"/>
        <w:spacing w:before="4"/>
        <w:rPr>
          <w:sz w:val="31"/>
        </w:rPr>
      </w:pPr>
    </w:p>
    <w:p w14:paraId="677DEB7C" w14:textId="77777777" w:rsidR="007B48CC" w:rsidRDefault="00E90905">
      <w:pPr>
        <w:pStyle w:val="ListParagraph"/>
        <w:numPr>
          <w:ilvl w:val="1"/>
          <w:numId w:val="13"/>
        </w:numPr>
        <w:tabs>
          <w:tab w:val="left" w:pos="1028"/>
        </w:tabs>
        <w:ind w:left="1027" w:hanging="428"/>
        <w:rPr>
          <w:sz w:val="24"/>
        </w:rPr>
      </w:pPr>
      <w:r>
        <w:rPr>
          <w:sz w:val="24"/>
        </w:rPr>
        <w:t xml:space="preserve">THO’s vision is </w:t>
      </w:r>
      <w:r>
        <w:rPr>
          <w:color w:val="30849B"/>
          <w:sz w:val="24"/>
        </w:rPr>
        <w:t>Housing Matters: Fairness Matters</w:t>
      </w:r>
      <w:r>
        <w:rPr>
          <w:sz w:val="24"/>
        </w:rPr>
        <w:t>.</w:t>
      </w:r>
    </w:p>
    <w:p w14:paraId="64BFE9E8" w14:textId="77777777" w:rsidR="007B48CC" w:rsidRDefault="007B48CC">
      <w:pPr>
        <w:pStyle w:val="BodyText"/>
        <w:spacing w:before="1"/>
        <w:rPr>
          <w:sz w:val="31"/>
        </w:rPr>
      </w:pPr>
    </w:p>
    <w:p w14:paraId="317D5EC5" w14:textId="77777777" w:rsidR="007B48CC" w:rsidRDefault="00E90905">
      <w:pPr>
        <w:pStyle w:val="BodyText"/>
        <w:spacing w:line="276" w:lineRule="auto"/>
        <w:ind w:left="1308" w:right="477"/>
      </w:pPr>
      <w:r>
        <w:t>“We ensure the fair and impartial resolution of housing complaints, locally where possible. We put things right and encourage learning from outcomes. We improve landlord and tenant relations and housing services. We aim to role model the service we expect of others”</w:t>
      </w:r>
    </w:p>
    <w:p w14:paraId="31A97E37" w14:textId="77777777" w:rsidR="007B48CC" w:rsidRDefault="007B48CC">
      <w:pPr>
        <w:pStyle w:val="BodyText"/>
        <w:spacing w:before="7"/>
        <w:rPr>
          <w:sz w:val="27"/>
        </w:rPr>
      </w:pPr>
    </w:p>
    <w:p w14:paraId="4E5BC4DE" w14:textId="77777777" w:rsidR="007B48CC" w:rsidRDefault="00E90905">
      <w:pPr>
        <w:pStyle w:val="ListParagraph"/>
        <w:numPr>
          <w:ilvl w:val="1"/>
          <w:numId w:val="13"/>
        </w:numPr>
        <w:tabs>
          <w:tab w:val="left" w:pos="1375"/>
          <w:tab w:val="left" w:pos="1376"/>
        </w:tabs>
        <w:spacing w:line="278" w:lineRule="auto"/>
        <w:ind w:left="1308" w:right="676"/>
        <w:rPr>
          <w:sz w:val="24"/>
        </w:rPr>
      </w:pPr>
      <w:r>
        <w:tab/>
      </w:r>
      <w:r>
        <w:rPr>
          <w:color w:val="202020"/>
          <w:sz w:val="24"/>
        </w:rPr>
        <w:t>To see the latest version of THO’s strategic objectives visit</w:t>
      </w:r>
      <w:r>
        <w:rPr>
          <w:color w:val="0000FF"/>
          <w:sz w:val="24"/>
        </w:rPr>
        <w:t xml:space="preserve"> </w:t>
      </w:r>
      <w:hyperlink r:id="rId14">
        <w:r>
          <w:rPr>
            <w:color w:val="0000FF"/>
            <w:sz w:val="24"/>
            <w:u w:val="single" w:color="0000FF"/>
          </w:rPr>
          <w:t>www.housing-</w:t>
        </w:r>
      </w:hyperlink>
      <w:hyperlink r:id="rId15">
        <w:r>
          <w:rPr>
            <w:color w:val="0000FF"/>
            <w:sz w:val="24"/>
            <w:u w:val="single" w:color="0000FF"/>
          </w:rPr>
          <w:t xml:space="preserve"> ombudsman.org.uk</w:t>
        </w:r>
      </w:hyperlink>
      <w:r>
        <w:rPr>
          <w:color w:val="202020"/>
          <w:sz w:val="24"/>
        </w:rPr>
        <w:t>.</w:t>
      </w:r>
    </w:p>
    <w:p w14:paraId="319C5E07" w14:textId="77777777" w:rsidR="007B48CC" w:rsidRDefault="007B48CC">
      <w:pPr>
        <w:pStyle w:val="BodyText"/>
        <w:spacing w:before="2"/>
        <w:rPr>
          <w:sz w:val="19"/>
        </w:rPr>
      </w:pPr>
    </w:p>
    <w:p w14:paraId="56D0032A" w14:textId="77777777" w:rsidR="007B48CC" w:rsidRDefault="00E90905">
      <w:pPr>
        <w:pStyle w:val="ListParagraph"/>
        <w:numPr>
          <w:ilvl w:val="1"/>
          <w:numId w:val="13"/>
        </w:numPr>
        <w:tabs>
          <w:tab w:val="left" w:pos="1309"/>
        </w:tabs>
        <w:spacing w:before="92" w:line="276" w:lineRule="auto"/>
        <w:ind w:left="1308" w:right="215"/>
        <w:jc w:val="both"/>
        <w:rPr>
          <w:sz w:val="24"/>
        </w:rPr>
      </w:pPr>
      <w:r>
        <w:rPr>
          <w:sz w:val="24"/>
        </w:rPr>
        <w:t>The service is independent and impartial. Membership of the Scheme is compulsory for social landlords (primarily housing associations who are or have been registered with the Social Housing Regulator) and local housing authorities. Additionally, a number of managing agents and private landlords are voluntary</w:t>
      </w:r>
      <w:r>
        <w:rPr>
          <w:spacing w:val="-5"/>
          <w:sz w:val="24"/>
        </w:rPr>
        <w:t xml:space="preserve"> </w:t>
      </w:r>
      <w:r>
        <w:rPr>
          <w:sz w:val="24"/>
        </w:rPr>
        <w:t>members.</w:t>
      </w:r>
    </w:p>
    <w:p w14:paraId="05164D2F" w14:textId="77777777" w:rsidR="007B48CC" w:rsidRDefault="007B48CC">
      <w:pPr>
        <w:pStyle w:val="BodyText"/>
        <w:spacing w:before="6"/>
        <w:rPr>
          <w:sz w:val="27"/>
        </w:rPr>
      </w:pPr>
    </w:p>
    <w:p w14:paraId="439BBF45" w14:textId="77777777" w:rsidR="007B48CC" w:rsidRDefault="00E90905">
      <w:pPr>
        <w:pStyle w:val="ListParagraph"/>
        <w:numPr>
          <w:ilvl w:val="1"/>
          <w:numId w:val="13"/>
        </w:numPr>
        <w:tabs>
          <w:tab w:val="left" w:pos="1309"/>
        </w:tabs>
        <w:spacing w:line="276" w:lineRule="auto"/>
        <w:ind w:left="1308" w:right="218"/>
        <w:jc w:val="both"/>
        <w:rPr>
          <w:sz w:val="24"/>
        </w:rPr>
      </w:pPr>
      <w:r>
        <w:rPr>
          <w:sz w:val="24"/>
        </w:rPr>
        <w:t>The Housing Act 1996 as amended by the Localism Act 2011 also gives “designated persons” a role in dealing with disputes between members of the Scheme and their residents, and in referring complaints that have not been resolved through the landlord’s procedures to</w:t>
      </w:r>
      <w:r>
        <w:rPr>
          <w:spacing w:val="-3"/>
          <w:sz w:val="24"/>
        </w:rPr>
        <w:t xml:space="preserve"> </w:t>
      </w:r>
      <w:r>
        <w:rPr>
          <w:sz w:val="24"/>
        </w:rPr>
        <w:t>THO.</w:t>
      </w:r>
    </w:p>
    <w:p w14:paraId="49058093"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73225E51" w14:textId="77777777" w:rsidR="007B48CC" w:rsidRDefault="00E90905">
      <w:pPr>
        <w:pStyle w:val="Heading1"/>
        <w:numPr>
          <w:ilvl w:val="0"/>
          <w:numId w:val="13"/>
        </w:numPr>
        <w:tabs>
          <w:tab w:val="left" w:pos="1166"/>
          <w:tab w:val="left" w:pos="1167"/>
        </w:tabs>
      </w:pPr>
      <w:r>
        <w:lastRenderedPageBreak/>
        <w:t>Accountability</w:t>
      </w:r>
    </w:p>
    <w:p w14:paraId="08893E3E" w14:textId="77777777" w:rsidR="007B48CC" w:rsidRDefault="007B48CC">
      <w:pPr>
        <w:pStyle w:val="BodyText"/>
        <w:spacing w:before="10"/>
        <w:rPr>
          <w:b/>
          <w:sz w:val="41"/>
        </w:rPr>
      </w:pPr>
    </w:p>
    <w:p w14:paraId="14258AE5" w14:textId="77777777" w:rsidR="007B48CC" w:rsidRDefault="00E90905">
      <w:pPr>
        <w:pStyle w:val="ListParagraph"/>
        <w:numPr>
          <w:ilvl w:val="1"/>
          <w:numId w:val="13"/>
        </w:numPr>
        <w:tabs>
          <w:tab w:val="left" w:pos="1309"/>
        </w:tabs>
        <w:spacing w:before="1" w:line="276" w:lineRule="auto"/>
        <w:ind w:left="1308" w:right="213" w:hanging="708"/>
        <w:jc w:val="both"/>
        <w:rPr>
          <w:sz w:val="24"/>
        </w:rPr>
      </w:pPr>
      <w:r>
        <w:rPr>
          <w:sz w:val="24"/>
        </w:rPr>
        <w:t>THO’s powers and duties stem from S51 of, and Schedule 2 to, the Housing Act 1996. THO is responsible for delivering his or her statutory functions in accordance with the Scheme, ensuring that these are exercised in an efficient and effective</w:t>
      </w:r>
      <w:r>
        <w:rPr>
          <w:spacing w:val="-3"/>
          <w:sz w:val="24"/>
        </w:rPr>
        <w:t xml:space="preserve"> </w:t>
      </w:r>
      <w:r>
        <w:rPr>
          <w:sz w:val="24"/>
        </w:rPr>
        <w:t>manner.</w:t>
      </w:r>
    </w:p>
    <w:p w14:paraId="7F4E39C5" w14:textId="77777777" w:rsidR="007B48CC" w:rsidRDefault="007B48CC">
      <w:pPr>
        <w:pStyle w:val="BodyText"/>
        <w:spacing w:before="6"/>
        <w:rPr>
          <w:sz w:val="27"/>
        </w:rPr>
      </w:pPr>
    </w:p>
    <w:p w14:paraId="770B3ED0" w14:textId="77777777" w:rsidR="007B48CC" w:rsidRDefault="00E90905">
      <w:pPr>
        <w:pStyle w:val="BodyText"/>
        <w:spacing w:line="276" w:lineRule="auto"/>
        <w:ind w:left="1308" w:right="214" w:hanging="708"/>
        <w:jc w:val="both"/>
      </w:pPr>
      <w:r>
        <w:t>2.2. The Ombudsman is appointed by the Secretary of State for Communities and Local Government under S51 of, and Schedule 2 to, the Housing Act 1996. The appointment process is in line with the Governance Code on Public Appointments and may include a pre-appointment hearing before the CLG Select Committee.</w:t>
      </w:r>
    </w:p>
    <w:p w14:paraId="0575A255" w14:textId="77777777" w:rsidR="007B48CC" w:rsidRDefault="007B48CC">
      <w:pPr>
        <w:pStyle w:val="BodyText"/>
        <w:spacing w:before="6"/>
        <w:rPr>
          <w:sz w:val="27"/>
        </w:rPr>
      </w:pPr>
    </w:p>
    <w:p w14:paraId="0CE15898" w14:textId="77777777" w:rsidR="007B48CC" w:rsidRDefault="00E90905">
      <w:pPr>
        <w:pStyle w:val="ListParagraph"/>
        <w:numPr>
          <w:ilvl w:val="1"/>
          <w:numId w:val="12"/>
        </w:numPr>
        <w:tabs>
          <w:tab w:val="left" w:pos="1309"/>
        </w:tabs>
        <w:spacing w:line="276" w:lineRule="auto"/>
        <w:ind w:right="214"/>
        <w:jc w:val="both"/>
        <w:rPr>
          <w:sz w:val="24"/>
        </w:rPr>
      </w:pPr>
      <w:r>
        <w:rPr>
          <w:sz w:val="24"/>
        </w:rPr>
        <w:t>THO is the independent person appointed by the Secretary of State for Communities and Local Government to administer the Housing Ombudsman Scheme. THO is accountable to the Secretary of State for Communities and Local Government for fulfilling this role in accordance with the terms of the Scheme.</w:t>
      </w:r>
    </w:p>
    <w:p w14:paraId="3C107E29" w14:textId="77777777" w:rsidR="007B48CC" w:rsidRDefault="007B48CC">
      <w:pPr>
        <w:pStyle w:val="BodyText"/>
        <w:spacing w:before="9"/>
        <w:rPr>
          <w:sz w:val="27"/>
        </w:rPr>
      </w:pPr>
    </w:p>
    <w:p w14:paraId="5FC4B48C" w14:textId="77777777" w:rsidR="007B48CC" w:rsidRDefault="00E90905">
      <w:pPr>
        <w:pStyle w:val="ListParagraph"/>
        <w:numPr>
          <w:ilvl w:val="1"/>
          <w:numId w:val="12"/>
        </w:numPr>
        <w:tabs>
          <w:tab w:val="left" w:pos="1321"/>
        </w:tabs>
        <w:spacing w:line="276" w:lineRule="auto"/>
        <w:ind w:left="1320" w:right="213" w:hanging="720"/>
        <w:jc w:val="both"/>
        <w:rPr>
          <w:sz w:val="24"/>
        </w:rPr>
      </w:pPr>
      <w:r>
        <w:rPr>
          <w:sz w:val="24"/>
        </w:rPr>
        <w:t xml:space="preserve">THO is also appointed as Housing Ombudsman to investigate complaints against social landlords in accordance with the Scheme. </w:t>
      </w:r>
      <w:r>
        <w:rPr>
          <w:color w:val="1F1F1F"/>
          <w:sz w:val="24"/>
        </w:rPr>
        <w:t xml:space="preserve">THO is solely responsible for the conduct of dispute resolution and the determination of complaints. THO must be independent and reach fair and impartial decisions when exercising these functions. Staff exercising these functions do so on behalf of the Ombudsman under his or her delegated authority. THO acts with independent discretion in relation to these functions and is accountable to Parliament in this role. THO may be </w:t>
      </w:r>
      <w:r>
        <w:rPr>
          <w:sz w:val="24"/>
        </w:rPr>
        <w:t>required to give evidence before the DCLG Select</w:t>
      </w:r>
      <w:r>
        <w:rPr>
          <w:spacing w:val="-3"/>
          <w:sz w:val="24"/>
        </w:rPr>
        <w:t xml:space="preserve"> </w:t>
      </w:r>
      <w:r>
        <w:rPr>
          <w:sz w:val="24"/>
        </w:rPr>
        <w:t>Committee.</w:t>
      </w:r>
    </w:p>
    <w:p w14:paraId="184F4DE8" w14:textId="77777777" w:rsidR="007B48CC" w:rsidRDefault="007B48CC">
      <w:pPr>
        <w:pStyle w:val="BodyText"/>
        <w:spacing w:before="6"/>
        <w:rPr>
          <w:sz w:val="27"/>
        </w:rPr>
      </w:pPr>
    </w:p>
    <w:p w14:paraId="356C781A" w14:textId="77777777" w:rsidR="007B48CC" w:rsidRDefault="00E90905">
      <w:pPr>
        <w:pStyle w:val="ListParagraph"/>
        <w:numPr>
          <w:ilvl w:val="1"/>
          <w:numId w:val="12"/>
        </w:numPr>
        <w:tabs>
          <w:tab w:val="left" w:pos="1320"/>
          <w:tab w:val="left" w:pos="1321"/>
        </w:tabs>
        <w:ind w:left="1320" w:hanging="721"/>
        <w:rPr>
          <w:color w:val="1F1F1F"/>
          <w:sz w:val="24"/>
        </w:rPr>
      </w:pPr>
      <w:r>
        <w:rPr>
          <w:color w:val="1F1F1F"/>
          <w:sz w:val="24"/>
        </w:rPr>
        <w:t>The Secretary of</w:t>
      </w:r>
      <w:r>
        <w:rPr>
          <w:color w:val="1F1F1F"/>
          <w:spacing w:val="-3"/>
          <w:sz w:val="24"/>
        </w:rPr>
        <w:t xml:space="preserve"> </w:t>
      </w:r>
      <w:r>
        <w:rPr>
          <w:color w:val="1F1F1F"/>
          <w:sz w:val="24"/>
        </w:rPr>
        <w:t>State:</w:t>
      </w:r>
    </w:p>
    <w:p w14:paraId="1D48477A" w14:textId="77777777" w:rsidR="007B48CC" w:rsidRDefault="007B48CC">
      <w:pPr>
        <w:pStyle w:val="BodyText"/>
        <w:spacing w:before="2"/>
        <w:rPr>
          <w:sz w:val="31"/>
        </w:rPr>
      </w:pPr>
    </w:p>
    <w:p w14:paraId="78EAD87A" w14:textId="77777777" w:rsidR="007B48CC" w:rsidRDefault="00E90905">
      <w:pPr>
        <w:pStyle w:val="ListParagraph"/>
        <w:numPr>
          <w:ilvl w:val="2"/>
          <w:numId w:val="12"/>
        </w:numPr>
        <w:tabs>
          <w:tab w:val="left" w:pos="1680"/>
          <w:tab w:val="left" w:pos="1681"/>
        </w:tabs>
        <w:spacing w:line="273" w:lineRule="auto"/>
        <w:ind w:right="550"/>
        <w:rPr>
          <w:rFonts w:ascii="Symbol" w:hAnsi="Symbol"/>
          <w:color w:val="1F1F1F"/>
          <w:sz w:val="24"/>
        </w:rPr>
      </w:pPr>
      <w:r>
        <w:rPr>
          <w:color w:val="1F1F1F"/>
          <w:sz w:val="24"/>
        </w:rPr>
        <w:t>sets the legislative framework within which THO determines its strategic direction;</w:t>
      </w:r>
    </w:p>
    <w:p w14:paraId="647FB342" w14:textId="77777777" w:rsidR="007B48CC" w:rsidRDefault="00E90905">
      <w:pPr>
        <w:pStyle w:val="ListParagraph"/>
        <w:numPr>
          <w:ilvl w:val="2"/>
          <w:numId w:val="12"/>
        </w:numPr>
        <w:tabs>
          <w:tab w:val="left" w:pos="1680"/>
          <w:tab w:val="left" w:pos="1681"/>
        </w:tabs>
        <w:spacing w:before="1"/>
        <w:ind w:hanging="361"/>
        <w:rPr>
          <w:rFonts w:ascii="Symbol" w:hAnsi="Symbol"/>
          <w:color w:val="1F1F1F"/>
          <w:sz w:val="24"/>
        </w:rPr>
      </w:pPr>
      <w:r>
        <w:rPr>
          <w:color w:val="1F1F1F"/>
          <w:sz w:val="24"/>
        </w:rPr>
        <w:t>approves changes to the Scheme under the Housing Act</w:t>
      </w:r>
      <w:r>
        <w:rPr>
          <w:color w:val="1F1F1F"/>
          <w:spacing w:val="-6"/>
          <w:sz w:val="24"/>
        </w:rPr>
        <w:t xml:space="preserve"> </w:t>
      </w:r>
      <w:r>
        <w:rPr>
          <w:color w:val="1F1F1F"/>
          <w:sz w:val="24"/>
        </w:rPr>
        <w:t>1996;</w:t>
      </w:r>
    </w:p>
    <w:p w14:paraId="120CDD65" w14:textId="77777777" w:rsidR="007B48CC" w:rsidRDefault="00E90905">
      <w:pPr>
        <w:pStyle w:val="ListParagraph"/>
        <w:numPr>
          <w:ilvl w:val="2"/>
          <w:numId w:val="12"/>
        </w:numPr>
        <w:tabs>
          <w:tab w:val="left" w:pos="1680"/>
          <w:tab w:val="left" w:pos="1681"/>
        </w:tabs>
        <w:spacing w:before="40" w:line="273" w:lineRule="auto"/>
        <w:ind w:right="428"/>
        <w:rPr>
          <w:rFonts w:ascii="Symbol" w:hAnsi="Symbol"/>
          <w:color w:val="1F1F1F"/>
          <w:sz w:val="24"/>
        </w:rPr>
      </w:pPr>
      <w:r>
        <w:rPr>
          <w:color w:val="1F1F1F"/>
          <w:sz w:val="24"/>
        </w:rPr>
        <w:t xml:space="preserve">appoints THO </w:t>
      </w:r>
      <w:r>
        <w:rPr>
          <w:sz w:val="24"/>
        </w:rPr>
        <w:t>under S51 of, and Schedule 2 to, the Housing Act 1996, in line with the Governance Code on Public</w:t>
      </w:r>
      <w:r>
        <w:rPr>
          <w:spacing w:val="-1"/>
          <w:sz w:val="24"/>
        </w:rPr>
        <w:t xml:space="preserve"> </w:t>
      </w:r>
      <w:r>
        <w:rPr>
          <w:sz w:val="24"/>
        </w:rPr>
        <w:t>Appointments;</w:t>
      </w:r>
    </w:p>
    <w:p w14:paraId="12962D2F" w14:textId="77777777" w:rsidR="007B48CC" w:rsidRDefault="00E90905">
      <w:pPr>
        <w:pStyle w:val="ListParagraph"/>
        <w:numPr>
          <w:ilvl w:val="2"/>
          <w:numId w:val="12"/>
        </w:numPr>
        <w:tabs>
          <w:tab w:val="left" w:pos="1680"/>
          <w:tab w:val="left" w:pos="1681"/>
        </w:tabs>
        <w:ind w:hanging="361"/>
        <w:rPr>
          <w:rFonts w:ascii="Symbol" w:hAnsi="Symbol"/>
          <w:color w:val="1F1F1F"/>
          <w:sz w:val="24"/>
        </w:rPr>
      </w:pPr>
      <w:r>
        <w:rPr>
          <w:color w:val="1F1F1F"/>
          <w:sz w:val="24"/>
        </w:rPr>
        <w:t>approves THO’s business plan and budget;</w:t>
      </w:r>
    </w:p>
    <w:p w14:paraId="26500E1C" w14:textId="77777777" w:rsidR="007B48CC" w:rsidRDefault="00E90905">
      <w:pPr>
        <w:pStyle w:val="ListParagraph"/>
        <w:numPr>
          <w:ilvl w:val="2"/>
          <w:numId w:val="12"/>
        </w:numPr>
        <w:tabs>
          <w:tab w:val="left" w:pos="1680"/>
          <w:tab w:val="left" w:pos="1681"/>
        </w:tabs>
        <w:spacing w:before="40"/>
        <w:ind w:hanging="361"/>
        <w:rPr>
          <w:rFonts w:ascii="Symbol" w:hAnsi="Symbol"/>
          <w:color w:val="1F1F1F"/>
          <w:sz w:val="24"/>
        </w:rPr>
      </w:pPr>
      <w:r>
        <w:rPr>
          <w:color w:val="1F1F1F"/>
          <w:sz w:val="24"/>
        </w:rPr>
        <w:t>approves any increases to the subscription</w:t>
      </w:r>
      <w:r>
        <w:rPr>
          <w:color w:val="1F1F1F"/>
          <w:spacing w:val="-6"/>
          <w:sz w:val="24"/>
        </w:rPr>
        <w:t xml:space="preserve"> </w:t>
      </w:r>
      <w:r>
        <w:rPr>
          <w:color w:val="1F1F1F"/>
          <w:sz w:val="24"/>
        </w:rPr>
        <w:t>level;</w:t>
      </w:r>
    </w:p>
    <w:p w14:paraId="683A1E30" w14:textId="77777777" w:rsidR="007B48CC" w:rsidRDefault="00E90905">
      <w:pPr>
        <w:pStyle w:val="ListParagraph"/>
        <w:numPr>
          <w:ilvl w:val="2"/>
          <w:numId w:val="12"/>
        </w:numPr>
        <w:tabs>
          <w:tab w:val="left" w:pos="1680"/>
          <w:tab w:val="left" w:pos="1681"/>
        </w:tabs>
        <w:spacing w:before="39" w:line="273" w:lineRule="auto"/>
        <w:ind w:right="215"/>
        <w:rPr>
          <w:rFonts w:ascii="Symbol" w:hAnsi="Symbol"/>
          <w:color w:val="5D5D5D"/>
          <w:sz w:val="24"/>
        </w:rPr>
      </w:pPr>
      <w:r>
        <w:rPr>
          <w:sz w:val="24"/>
        </w:rPr>
        <w:t xml:space="preserve">accounts for THO’s business in Parliament; </w:t>
      </w:r>
      <w:r>
        <w:rPr>
          <w:color w:val="1F1F1F"/>
          <w:sz w:val="24"/>
        </w:rPr>
        <w:t>including laying THO’s annual report and accounts before</w:t>
      </w:r>
      <w:r>
        <w:rPr>
          <w:color w:val="1F1F1F"/>
          <w:spacing w:val="-5"/>
          <w:sz w:val="24"/>
        </w:rPr>
        <w:t xml:space="preserve"> </w:t>
      </w:r>
      <w:r>
        <w:rPr>
          <w:color w:val="1F1F1F"/>
          <w:sz w:val="24"/>
        </w:rPr>
        <w:t>Parliament;</w:t>
      </w:r>
    </w:p>
    <w:p w14:paraId="18A5055C" w14:textId="77777777" w:rsidR="007B48CC" w:rsidRDefault="00E90905">
      <w:pPr>
        <w:pStyle w:val="ListParagraph"/>
        <w:numPr>
          <w:ilvl w:val="2"/>
          <w:numId w:val="12"/>
        </w:numPr>
        <w:tabs>
          <w:tab w:val="left" w:pos="1680"/>
          <w:tab w:val="left" w:pos="1681"/>
        </w:tabs>
        <w:spacing w:before="1" w:line="273" w:lineRule="auto"/>
        <w:ind w:right="220"/>
        <w:rPr>
          <w:rFonts w:ascii="Symbol" w:hAnsi="Symbol"/>
          <w:color w:val="5D5D5D"/>
          <w:sz w:val="24"/>
        </w:rPr>
      </w:pPr>
      <w:r>
        <w:rPr>
          <w:color w:val="1F1F1F"/>
          <w:sz w:val="24"/>
        </w:rPr>
        <w:t>may remove THO from office in accordance with paragraph 10(3) of Schedule 2 to the Housing Act 1996 and paragraph 63 of the</w:t>
      </w:r>
      <w:r>
        <w:rPr>
          <w:color w:val="1F1F1F"/>
          <w:spacing w:val="-15"/>
          <w:sz w:val="24"/>
        </w:rPr>
        <w:t xml:space="preserve"> </w:t>
      </w:r>
      <w:r>
        <w:rPr>
          <w:color w:val="1F1F1F"/>
          <w:sz w:val="24"/>
        </w:rPr>
        <w:t>Scheme;</w:t>
      </w:r>
    </w:p>
    <w:p w14:paraId="0DCB5FCF" w14:textId="77777777" w:rsidR="007B48CC" w:rsidRDefault="007B48CC">
      <w:pPr>
        <w:spacing w:line="273" w:lineRule="auto"/>
        <w:rPr>
          <w:rFonts w:ascii="Symbol" w:hAnsi="Symbol"/>
          <w:sz w:val="24"/>
        </w:rPr>
        <w:sectPr w:rsidR="007B48CC">
          <w:pgSz w:w="11910" w:h="16840"/>
          <w:pgMar w:top="1340" w:right="1220" w:bottom="1240" w:left="840" w:header="0" w:footer="1054" w:gutter="0"/>
          <w:cols w:space="720"/>
        </w:sectPr>
      </w:pPr>
    </w:p>
    <w:p w14:paraId="4E274351" w14:textId="77777777" w:rsidR="007B48CC" w:rsidRDefault="00E90905">
      <w:pPr>
        <w:pStyle w:val="ListParagraph"/>
        <w:numPr>
          <w:ilvl w:val="2"/>
          <w:numId w:val="12"/>
        </w:numPr>
        <w:tabs>
          <w:tab w:val="left" w:pos="1680"/>
          <w:tab w:val="left" w:pos="1681"/>
        </w:tabs>
        <w:spacing w:before="78" w:line="273" w:lineRule="auto"/>
        <w:ind w:right="213"/>
        <w:rPr>
          <w:rFonts w:ascii="Symbol" w:hAnsi="Symbol"/>
          <w:color w:val="5D5D5D"/>
          <w:sz w:val="24"/>
        </w:rPr>
      </w:pPr>
      <w:r>
        <w:rPr>
          <w:color w:val="1F1F1F"/>
          <w:sz w:val="24"/>
        </w:rPr>
        <w:lastRenderedPageBreak/>
        <w:t>may appoint a person or people as Acting Ombudsman if THO is indisposed or otherwise prevented from carrying out his or her duties;</w:t>
      </w:r>
      <w:r>
        <w:rPr>
          <w:color w:val="1F1F1F"/>
          <w:spacing w:val="-17"/>
          <w:sz w:val="24"/>
        </w:rPr>
        <w:t xml:space="preserve"> </w:t>
      </w:r>
      <w:r>
        <w:rPr>
          <w:color w:val="1F1F1F"/>
          <w:sz w:val="24"/>
        </w:rPr>
        <w:t>and</w:t>
      </w:r>
    </w:p>
    <w:p w14:paraId="534E6054" w14:textId="77777777" w:rsidR="007B48CC" w:rsidRDefault="00E90905">
      <w:pPr>
        <w:pStyle w:val="ListParagraph"/>
        <w:numPr>
          <w:ilvl w:val="2"/>
          <w:numId w:val="12"/>
        </w:numPr>
        <w:tabs>
          <w:tab w:val="left" w:pos="1680"/>
          <w:tab w:val="left" w:pos="1681"/>
        </w:tabs>
        <w:spacing w:before="1"/>
        <w:ind w:hanging="361"/>
        <w:rPr>
          <w:rFonts w:ascii="Symbol" w:hAnsi="Symbol"/>
          <w:color w:val="5D5D5D"/>
          <w:sz w:val="24"/>
        </w:rPr>
      </w:pPr>
      <w:r>
        <w:rPr>
          <w:color w:val="1F1F1F"/>
          <w:sz w:val="24"/>
        </w:rPr>
        <w:t>may appoint a responsible minister to lead on matters relating to</w:t>
      </w:r>
      <w:r>
        <w:rPr>
          <w:color w:val="1F1F1F"/>
          <w:spacing w:val="-16"/>
          <w:sz w:val="24"/>
        </w:rPr>
        <w:t xml:space="preserve"> </w:t>
      </w:r>
      <w:r>
        <w:rPr>
          <w:color w:val="1F1F1F"/>
          <w:sz w:val="24"/>
        </w:rPr>
        <w:t>THO.</w:t>
      </w:r>
    </w:p>
    <w:p w14:paraId="00D2518F" w14:textId="77777777" w:rsidR="007B48CC" w:rsidRDefault="007B48CC">
      <w:pPr>
        <w:pStyle w:val="BodyText"/>
        <w:rPr>
          <w:sz w:val="28"/>
        </w:rPr>
      </w:pPr>
    </w:p>
    <w:p w14:paraId="1F8F82AA" w14:textId="77777777" w:rsidR="007B48CC" w:rsidRDefault="007B48CC">
      <w:pPr>
        <w:pStyle w:val="BodyText"/>
        <w:spacing w:before="10"/>
        <w:rPr>
          <w:sz w:val="30"/>
        </w:rPr>
      </w:pPr>
    </w:p>
    <w:p w14:paraId="5F947193" w14:textId="77777777" w:rsidR="007B48CC" w:rsidRDefault="00E90905">
      <w:pPr>
        <w:pStyle w:val="ListParagraph"/>
        <w:numPr>
          <w:ilvl w:val="1"/>
          <w:numId w:val="12"/>
        </w:numPr>
        <w:tabs>
          <w:tab w:val="left" w:pos="1321"/>
        </w:tabs>
        <w:spacing w:line="276" w:lineRule="auto"/>
        <w:ind w:left="1320" w:right="215" w:hanging="720"/>
        <w:jc w:val="both"/>
        <w:rPr>
          <w:color w:val="1F1F1F"/>
          <w:sz w:val="24"/>
        </w:rPr>
      </w:pPr>
      <w:r>
        <w:rPr>
          <w:color w:val="1F1F1F"/>
          <w:sz w:val="24"/>
        </w:rPr>
        <w:t>The Permanent Secretary is responsible for supporting the Secretary of State in his statutory role under the Housing Act 1996 but will delegate responsibilities to the Director of Housing Standards and Support and the Director of Finance. They will liaise with the Ombudsman regularly to discuss relevant developments in law, guidance and policy which could have an impact on THO strategy or</w:t>
      </w:r>
      <w:r>
        <w:rPr>
          <w:color w:val="1F1F1F"/>
          <w:spacing w:val="-9"/>
          <w:sz w:val="24"/>
        </w:rPr>
        <w:t xml:space="preserve"> </w:t>
      </w:r>
      <w:r>
        <w:rPr>
          <w:color w:val="1F1F1F"/>
          <w:sz w:val="24"/>
        </w:rPr>
        <w:t>performance.</w:t>
      </w:r>
    </w:p>
    <w:p w14:paraId="5CD5F41F"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17033802" w14:textId="77777777" w:rsidR="007B48CC" w:rsidRDefault="00E90905">
      <w:pPr>
        <w:pStyle w:val="Heading1"/>
        <w:numPr>
          <w:ilvl w:val="0"/>
          <w:numId w:val="13"/>
        </w:numPr>
        <w:tabs>
          <w:tab w:val="left" w:pos="872"/>
        </w:tabs>
        <w:spacing w:line="448" w:lineRule="auto"/>
        <w:ind w:left="600" w:right="2562" w:firstLine="0"/>
      </w:pPr>
      <w:r>
        <w:lastRenderedPageBreak/>
        <w:t>Accounting Officer Responsibilities DCLG’s Accounting Officer</w:t>
      </w:r>
      <w:r>
        <w:rPr>
          <w:spacing w:val="-19"/>
        </w:rPr>
        <w:t xml:space="preserve"> </w:t>
      </w:r>
      <w:r>
        <w:t>Responsibilities</w:t>
      </w:r>
    </w:p>
    <w:p w14:paraId="71886A08" w14:textId="77777777" w:rsidR="007B48CC" w:rsidRDefault="00E90905">
      <w:pPr>
        <w:pStyle w:val="ListParagraph"/>
        <w:numPr>
          <w:ilvl w:val="1"/>
          <w:numId w:val="13"/>
        </w:numPr>
        <w:tabs>
          <w:tab w:val="left" w:pos="1308"/>
          <w:tab w:val="left" w:pos="1309"/>
        </w:tabs>
        <w:spacing w:before="52" w:line="276" w:lineRule="auto"/>
        <w:ind w:left="1308" w:right="402" w:hanging="708"/>
        <w:rPr>
          <w:sz w:val="24"/>
        </w:rPr>
      </w:pPr>
      <w:r>
        <w:rPr>
          <w:sz w:val="24"/>
        </w:rPr>
        <w:t xml:space="preserve">The Permanent Secretary for DCLG, as DCLG’s Principal Accounting Officer (DCLG PAO), has designated THO as the Accounting Officer for THO (AO). The respective responsibilities of the DCLG Accounting Officer and Accounting Officers for ALBs are set out in Chapter 3 of </w:t>
      </w:r>
      <w:r>
        <w:rPr>
          <w:i/>
          <w:sz w:val="24"/>
        </w:rPr>
        <w:t xml:space="preserve">Managing Public Money, </w:t>
      </w:r>
      <w:r>
        <w:rPr>
          <w:sz w:val="24"/>
        </w:rPr>
        <w:t>which is sent separately to the Accounting Officer on</w:t>
      </w:r>
      <w:r>
        <w:rPr>
          <w:spacing w:val="-17"/>
          <w:sz w:val="24"/>
        </w:rPr>
        <w:t xml:space="preserve"> </w:t>
      </w:r>
      <w:r>
        <w:rPr>
          <w:sz w:val="24"/>
        </w:rPr>
        <w:t>appointment.</w:t>
      </w:r>
    </w:p>
    <w:p w14:paraId="1958B5C9" w14:textId="77777777" w:rsidR="007B48CC" w:rsidRDefault="007B48CC">
      <w:pPr>
        <w:pStyle w:val="BodyText"/>
        <w:spacing w:before="9"/>
        <w:rPr>
          <w:sz w:val="27"/>
        </w:rPr>
      </w:pPr>
    </w:p>
    <w:p w14:paraId="7B42A3AD" w14:textId="77777777" w:rsidR="007B48CC" w:rsidRDefault="00E90905">
      <w:pPr>
        <w:pStyle w:val="ListParagraph"/>
        <w:numPr>
          <w:ilvl w:val="1"/>
          <w:numId w:val="13"/>
        </w:numPr>
        <w:tabs>
          <w:tab w:val="left" w:pos="1308"/>
          <w:tab w:val="left" w:pos="1309"/>
        </w:tabs>
        <w:ind w:left="1308" w:hanging="709"/>
        <w:rPr>
          <w:sz w:val="24"/>
        </w:rPr>
      </w:pPr>
      <w:r>
        <w:rPr>
          <w:sz w:val="24"/>
        </w:rPr>
        <w:t>The DCLG PAO is responsible for advising the responsible</w:t>
      </w:r>
      <w:r>
        <w:rPr>
          <w:spacing w:val="-16"/>
          <w:sz w:val="24"/>
        </w:rPr>
        <w:t xml:space="preserve"> </w:t>
      </w:r>
      <w:r>
        <w:rPr>
          <w:sz w:val="24"/>
        </w:rPr>
        <w:t>minister:</w:t>
      </w:r>
    </w:p>
    <w:p w14:paraId="468E24E0" w14:textId="77777777" w:rsidR="007B48CC" w:rsidRDefault="007B48CC">
      <w:pPr>
        <w:pStyle w:val="BodyText"/>
        <w:spacing w:before="11"/>
        <w:rPr>
          <w:sz w:val="30"/>
        </w:rPr>
      </w:pPr>
    </w:p>
    <w:p w14:paraId="5629771F" w14:textId="77777777" w:rsidR="007B48CC" w:rsidRDefault="00E90905">
      <w:pPr>
        <w:pStyle w:val="ListParagraph"/>
        <w:numPr>
          <w:ilvl w:val="2"/>
          <w:numId w:val="13"/>
        </w:numPr>
        <w:tabs>
          <w:tab w:val="left" w:pos="2019"/>
        </w:tabs>
        <w:spacing w:line="273" w:lineRule="auto"/>
        <w:ind w:left="2018" w:right="246" w:hanging="711"/>
        <w:jc w:val="both"/>
        <w:rPr>
          <w:sz w:val="24"/>
        </w:rPr>
      </w:pPr>
      <w:r>
        <w:rPr>
          <w:sz w:val="24"/>
        </w:rPr>
        <w:t>on whether the budget and business plan submitted by THO allows him or her to carry out statutory functions effectively and in accordance with the</w:t>
      </w:r>
      <w:r>
        <w:rPr>
          <w:spacing w:val="-1"/>
          <w:sz w:val="24"/>
        </w:rPr>
        <w:t xml:space="preserve"> </w:t>
      </w:r>
      <w:r>
        <w:rPr>
          <w:sz w:val="24"/>
        </w:rPr>
        <w:t>Scheme;</w:t>
      </w:r>
    </w:p>
    <w:p w14:paraId="0FCBC09F" w14:textId="77777777" w:rsidR="007B48CC" w:rsidRDefault="00E90905">
      <w:pPr>
        <w:pStyle w:val="ListParagraph"/>
        <w:numPr>
          <w:ilvl w:val="2"/>
          <w:numId w:val="13"/>
        </w:numPr>
        <w:tabs>
          <w:tab w:val="left" w:pos="2018"/>
          <w:tab w:val="left" w:pos="2019"/>
        </w:tabs>
        <w:spacing w:before="3" w:line="276" w:lineRule="auto"/>
        <w:ind w:left="2018" w:right="877" w:hanging="711"/>
        <w:rPr>
          <w:sz w:val="24"/>
        </w:rPr>
      </w:pPr>
      <w:r>
        <w:rPr>
          <w:sz w:val="24"/>
        </w:rPr>
        <w:t>how well THO is achieving the strategic objectives set out in the business plan and whether the organisation is delivering value for money.</w:t>
      </w:r>
    </w:p>
    <w:p w14:paraId="16A95DDE" w14:textId="77777777" w:rsidR="007B48CC" w:rsidRDefault="007B48CC">
      <w:pPr>
        <w:pStyle w:val="BodyText"/>
        <w:spacing w:before="4"/>
        <w:rPr>
          <w:sz w:val="27"/>
        </w:rPr>
      </w:pPr>
    </w:p>
    <w:p w14:paraId="7A82D9C6" w14:textId="77777777" w:rsidR="007B48CC" w:rsidRDefault="00E90905">
      <w:pPr>
        <w:pStyle w:val="ListParagraph"/>
        <w:numPr>
          <w:ilvl w:val="1"/>
          <w:numId w:val="13"/>
        </w:numPr>
        <w:tabs>
          <w:tab w:val="left" w:pos="1308"/>
          <w:tab w:val="left" w:pos="1309"/>
        </w:tabs>
        <w:spacing w:before="1" w:line="276" w:lineRule="auto"/>
        <w:ind w:left="1308" w:right="223" w:hanging="708"/>
        <w:rPr>
          <w:sz w:val="24"/>
        </w:rPr>
      </w:pPr>
      <w:r>
        <w:rPr>
          <w:sz w:val="24"/>
        </w:rPr>
        <w:t>The DCLG PAO is also responsible for ensuring arrangements are in place in order</w:t>
      </w:r>
      <w:r>
        <w:rPr>
          <w:spacing w:val="-1"/>
          <w:sz w:val="24"/>
        </w:rPr>
        <w:t xml:space="preserve"> </w:t>
      </w:r>
      <w:r>
        <w:rPr>
          <w:sz w:val="24"/>
        </w:rPr>
        <w:t>to:</w:t>
      </w:r>
    </w:p>
    <w:p w14:paraId="08E96FC1" w14:textId="77777777" w:rsidR="007B48CC" w:rsidRDefault="007B48CC">
      <w:pPr>
        <w:pStyle w:val="BodyText"/>
        <w:spacing w:before="6"/>
        <w:rPr>
          <w:sz w:val="27"/>
        </w:rPr>
      </w:pPr>
    </w:p>
    <w:p w14:paraId="7E70E519" w14:textId="77777777" w:rsidR="007B48CC" w:rsidRDefault="00E90905">
      <w:pPr>
        <w:pStyle w:val="ListParagraph"/>
        <w:numPr>
          <w:ilvl w:val="2"/>
          <w:numId w:val="13"/>
        </w:numPr>
        <w:tabs>
          <w:tab w:val="left" w:pos="2019"/>
        </w:tabs>
        <w:ind w:left="2018" w:hanging="711"/>
        <w:jc w:val="both"/>
        <w:rPr>
          <w:sz w:val="24"/>
        </w:rPr>
      </w:pPr>
      <w:r>
        <w:rPr>
          <w:sz w:val="24"/>
        </w:rPr>
        <w:t>inform THO of relevant government policy in a timely</w:t>
      </w:r>
      <w:r>
        <w:rPr>
          <w:spacing w:val="-13"/>
          <w:sz w:val="24"/>
        </w:rPr>
        <w:t xml:space="preserve"> </w:t>
      </w:r>
      <w:r>
        <w:rPr>
          <w:sz w:val="24"/>
        </w:rPr>
        <w:t>manner;</w:t>
      </w:r>
    </w:p>
    <w:p w14:paraId="4C11F3CE" w14:textId="77777777" w:rsidR="007B48CC" w:rsidRDefault="00E90905">
      <w:pPr>
        <w:pStyle w:val="ListParagraph"/>
        <w:numPr>
          <w:ilvl w:val="2"/>
          <w:numId w:val="13"/>
        </w:numPr>
        <w:tabs>
          <w:tab w:val="left" w:pos="2019"/>
        </w:tabs>
        <w:spacing w:before="39" w:line="273" w:lineRule="auto"/>
        <w:ind w:left="2018" w:right="221" w:hanging="711"/>
        <w:jc w:val="both"/>
        <w:rPr>
          <w:sz w:val="24"/>
        </w:rPr>
      </w:pPr>
      <w:r>
        <w:rPr>
          <w:sz w:val="24"/>
        </w:rPr>
        <w:t>monitoring THO’s performance against the strategic objectives in the business</w:t>
      </w:r>
      <w:r>
        <w:rPr>
          <w:spacing w:val="-3"/>
          <w:sz w:val="24"/>
        </w:rPr>
        <w:t xml:space="preserve"> </w:t>
      </w:r>
      <w:r>
        <w:rPr>
          <w:sz w:val="24"/>
        </w:rPr>
        <w:t>plan;</w:t>
      </w:r>
    </w:p>
    <w:p w14:paraId="67C30C43" w14:textId="77777777" w:rsidR="007B48CC" w:rsidRDefault="00E90905">
      <w:pPr>
        <w:pStyle w:val="ListParagraph"/>
        <w:numPr>
          <w:ilvl w:val="2"/>
          <w:numId w:val="13"/>
        </w:numPr>
        <w:tabs>
          <w:tab w:val="left" w:pos="2019"/>
        </w:tabs>
        <w:spacing w:before="1" w:line="273" w:lineRule="auto"/>
        <w:ind w:left="2018" w:right="216" w:hanging="711"/>
        <w:jc w:val="both"/>
        <w:rPr>
          <w:sz w:val="24"/>
        </w:rPr>
      </w:pPr>
      <w:r>
        <w:rPr>
          <w:sz w:val="24"/>
        </w:rPr>
        <w:t>address significant problems in the Housing Ombudsman Service (HOS), making such interventions as are judged</w:t>
      </w:r>
      <w:r>
        <w:rPr>
          <w:spacing w:val="-9"/>
          <w:sz w:val="24"/>
        </w:rPr>
        <w:t xml:space="preserve"> </w:t>
      </w:r>
      <w:r>
        <w:rPr>
          <w:sz w:val="24"/>
        </w:rPr>
        <w:t>necessary;</w:t>
      </w:r>
    </w:p>
    <w:p w14:paraId="40BA4BCB" w14:textId="77777777" w:rsidR="007B48CC" w:rsidRDefault="00E90905">
      <w:pPr>
        <w:pStyle w:val="ListParagraph"/>
        <w:numPr>
          <w:ilvl w:val="2"/>
          <w:numId w:val="13"/>
        </w:numPr>
        <w:tabs>
          <w:tab w:val="left" w:pos="2019"/>
        </w:tabs>
        <w:spacing w:before="1" w:line="273" w:lineRule="auto"/>
        <w:ind w:left="2018" w:right="223" w:hanging="711"/>
        <w:jc w:val="both"/>
        <w:rPr>
          <w:sz w:val="24"/>
        </w:rPr>
      </w:pPr>
      <w:r>
        <w:rPr>
          <w:sz w:val="24"/>
        </w:rPr>
        <w:t>periodically carry out an assessment of the risks both to DCLG and THO’s objectives and</w:t>
      </w:r>
      <w:r>
        <w:rPr>
          <w:spacing w:val="-3"/>
          <w:sz w:val="24"/>
        </w:rPr>
        <w:t xml:space="preserve"> </w:t>
      </w:r>
      <w:r>
        <w:rPr>
          <w:sz w:val="24"/>
        </w:rPr>
        <w:t>activities;</w:t>
      </w:r>
    </w:p>
    <w:p w14:paraId="45FA8256" w14:textId="77777777" w:rsidR="007B48CC" w:rsidRDefault="00E90905">
      <w:pPr>
        <w:pStyle w:val="ListParagraph"/>
        <w:numPr>
          <w:ilvl w:val="2"/>
          <w:numId w:val="13"/>
        </w:numPr>
        <w:tabs>
          <w:tab w:val="left" w:pos="2019"/>
        </w:tabs>
        <w:spacing w:before="3" w:line="276" w:lineRule="auto"/>
        <w:ind w:left="2018" w:right="214" w:hanging="711"/>
        <w:jc w:val="both"/>
        <w:rPr>
          <w:sz w:val="24"/>
        </w:rPr>
      </w:pPr>
      <w:r>
        <w:rPr>
          <w:sz w:val="24"/>
        </w:rPr>
        <w:t>bring concerns about the activities of the organisation to the AO and as appropriate to the DCLG’s Executive Team, and/or to DCLG’s Board, requiring explanations and assurances that appropriate action has been</w:t>
      </w:r>
      <w:r>
        <w:rPr>
          <w:spacing w:val="-1"/>
          <w:sz w:val="24"/>
        </w:rPr>
        <w:t xml:space="preserve"> </w:t>
      </w:r>
      <w:r>
        <w:rPr>
          <w:sz w:val="24"/>
        </w:rPr>
        <w:t>taken.</w:t>
      </w:r>
    </w:p>
    <w:p w14:paraId="3667040B" w14:textId="77777777" w:rsidR="007B48CC" w:rsidRDefault="007B48CC">
      <w:pPr>
        <w:pStyle w:val="BodyText"/>
        <w:spacing w:before="2"/>
        <w:rPr>
          <w:sz w:val="27"/>
        </w:rPr>
      </w:pPr>
    </w:p>
    <w:p w14:paraId="2912FBEE" w14:textId="77777777" w:rsidR="007B48CC" w:rsidRDefault="00E90905">
      <w:pPr>
        <w:pStyle w:val="ListParagraph"/>
        <w:numPr>
          <w:ilvl w:val="1"/>
          <w:numId w:val="13"/>
        </w:numPr>
        <w:tabs>
          <w:tab w:val="left" w:pos="1453"/>
        </w:tabs>
        <w:spacing w:line="276" w:lineRule="auto"/>
        <w:ind w:left="1452" w:right="215" w:hanging="852"/>
        <w:jc w:val="both"/>
        <w:rPr>
          <w:sz w:val="24"/>
        </w:rPr>
      </w:pPr>
      <w:r>
        <w:rPr>
          <w:sz w:val="24"/>
        </w:rPr>
        <w:t>The Partnership and Delivery Unit and Policy Teams at DCLG are the primary contact for THO. They are the main source of advice to the responsible minister on the discharge of his or her responsibilities in respect of THO. They also support the PAO on his or her responsibilities towards THO. They are accountable to the Directors of Finance and</w:t>
      </w:r>
      <w:r>
        <w:rPr>
          <w:spacing w:val="-10"/>
          <w:sz w:val="24"/>
        </w:rPr>
        <w:t xml:space="preserve"> </w:t>
      </w:r>
      <w:r>
        <w:rPr>
          <w:sz w:val="24"/>
        </w:rPr>
        <w:t>Housing.</w:t>
      </w:r>
    </w:p>
    <w:p w14:paraId="58579C72"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3419AA17" w14:textId="77777777" w:rsidR="007B48CC" w:rsidRDefault="00E90905">
      <w:pPr>
        <w:pStyle w:val="Heading1"/>
      </w:pPr>
      <w:r>
        <w:rPr>
          <w:color w:val="1F1F1F"/>
        </w:rPr>
        <w:lastRenderedPageBreak/>
        <w:t>THO Accounting Officer Responsibilities</w:t>
      </w:r>
    </w:p>
    <w:p w14:paraId="579F04AD" w14:textId="77777777" w:rsidR="007B48CC" w:rsidRDefault="007B48CC">
      <w:pPr>
        <w:pStyle w:val="BodyText"/>
        <w:spacing w:before="8"/>
        <w:rPr>
          <w:b/>
          <w:sz w:val="32"/>
        </w:rPr>
      </w:pPr>
    </w:p>
    <w:p w14:paraId="0A835644" w14:textId="77777777" w:rsidR="007B48CC" w:rsidRDefault="00E90905">
      <w:pPr>
        <w:pStyle w:val="ListParagraph"/>
        <w:numPr>
          <w:ilvl w:val="1"/>
          <w:numId w:val="13"/>
        </w:numPr>
        <w:tabs>
          <w:tab w:val="left" w:pos="1453"/>
        </w:tabs>
        <w:ind w:left="1452" w:hanging="853"/>
        <w:jc w:val="both"/>
        <w:rPr>
          <w:sz w:val="24"/>
        </w:rPr>
      </w:pPr>
      <w:r>
        <w:rPr>
          <w:sz w:val="24"/>
        </w:rPr>
        <w:t>THO as AO is personally responsible</w:t>
      </w:r>
      <w:r>
        <w:rPr>
          <w:spacing w:val="-9"/>
          <w:sz w:val="24"/>
        </w:rPr>
        <w:t xml:space="preserve"> </w:t>
      </w:r>
      <w:r>
        <w:rPr>
          <w:sz w:val="24"/>
        </w:rPr>
        <w:t>for:</w:t>
      </w:r>
    </w:p>
    <w:p w14:paraId="6B911404" w14:textId="77777777" w:rsidR="007B48CC" w:rsidRDefault="00E90905">
      <w:pPr>
        <w:pStyle w:val="ListParagraph"/>
        <w:numPr>
          <w:ilvl w:val="2"/>
          <w:numId w:val="13"/>
        </w:numPr>
        <w:tabs>
          <w:tab w:val="left" w:pos="1734"/>
        </w:tabs>
        <w:spacing w:before="39" w:line="273" w:lineRule="auto"/>
        <w:ind w:left="1733" w:right="218" w:hanging="281"/>
        <w:jc w:val="both"/>
        <w:rPr>
          <w:sz w:val="24"/>
        </w:rPr>
      </w:pPr>
      <w:r>
        <w:rPr>
          <w:sz w:val="24"/>
        </w:rPr>
        <w:t>ensuring that THO’s Corporate Plans and annual Business Plans are in line with THO’s statutory role and purpose in the light of the Scheme and sector</w:t>
      </w:r>
      <w:r>
        <w:rPr>
          <w:spacing w:val="-1"/>
          <w:sz w:val="24"/>
        </w:rPr>
        <w:t xml:space="preserve"> </w:t>
      </w:r>
      <w:r>
        <w:rPr>
          <w:sz w:val="24"/>
        </w:rPr>
        <w:t>needs;</w:t>
      </w:r>
    </w:p>
    <w:p w14:paraId="37B9C8D4" w14:textId="77777777" w:rsidR="007B48CC" w:rsidRDefault="00E90905">
      <w:pPr>
        <w:pStyle w:val="ListParagraph"/>
        <w:numPr>
          <w:ilvl w:val="2"/>
          <w:numId w:val="13"/>
        </w:numPr>
        <w:tabs>
          <w:tab w:val="left" w:pos="1734"/>
        </w:tabs>
        <w:spacing w:before="3" w:line="273" w:lineRule="auto"/>
        <w:ind w:left="1733" w:right="225" w:hanging="281"/>
        <w:jc w:val="both"/>
        <w:rPr>
          <w:sz w:val="24"/>
        </w:rPr>
      </w:pPr>
      <w:r>
        <w:rPr>
          <w:sz w:val="24"/>
        </w:rPr>
        <w:t>setting strategic objectives and an appropriate budget to meet corporate and business plan needs and to deliver value for</w:t>
      </w:r>
      <w:r>
        <w:rPr>
          <w:spacing w:val="-3"/>
          <w:sz w:val="24"/>
        </w:rPr>
        <w:t xml:space="preserve"> </w:t>
      </w:r>
      <w:r>
        <w:rPr>
          <w:sz w:val="24"/>
        </w:rPr>
        <w:t>money;</w:t>
      </w:r>
    </w:p>
    <w:p w14:paraId="6D5A2BBA" w14:textId="77777777" w:rsidR="007B48CC" w:rsidRDefault="00E90905">
      <w:pPr>
        <w:pStyle w:val="ListParagraph"/>
        <w:numPr>
          <w:ilvl w:val="2"/>
          <w:numId w:val="13"/>
        </w:numPr>
        <w:tabs>
          <w:tab w:val="left" w:pos="1734"/>
        </w:tabs>
        <w:spacing w:before="1"/>
        <w:ind w:left="1733" w:hanging="282"/>
        <w:jc w:val="both"/>
        <w:rPr>
          <w:sz w:val="24"/>
        </w:rPr>
      </w:pPr>
      <w:r>
        <w:rPr>
          <w:sz w:val="24"/>
        </w:rPr>
        <w:t>safeguarding the public funds of THO for which he or she has</w:t>
      </w:r>
      <w:r>
        <w:rPr>
          <w:spacing w:val="-14"/>
          <w:sz w:val="24"/>
        </w:rPr>
        <w:t xml:space="preserve"> </w:t>
      </w:r>
      <w:r>
        <w:rPr>
          <w:sz w:val="24"/>
        </w:rPr>
        <w:t>charge;</w:t>
      </w:r>
    </w:p>
    <w:p w14:paraId="374C800C" w14:textId="77777777" w:rsidR="007B48CC" w:rsidRDefault="00E90905">
      <w:pPr>
        <w:pStyle w:val="ListParagraph"/>
        <w:numPr>
          <w:ilvl w:val="2"/>
          <w:numId w:val="13"/>
        </w:numPr>
        <w:tabs>
          <w:tab w:val="left" w:pos="1734"/>
        </w:tabs>
        <w:spacing w:before="39" w:line="273" w:lineRule="auto"/>
        <w:ind w:left="1733" w:right="224" w:hanging="281"/>
        <w:jc w:val="both"/>
        <w:rPr>
          <w:sz w:val="24"/>
        </w:rPr>
      </w:pPr>
      <w:r>
        <w:rPr>
          <w:sz w:val="24"/>
        </w:rPr>
        <w:t>ensuring propriety, regularity, value for money and feasibility in the handling of those public</w:t>
      </w:r>
      <w:r>
        <w:rPr>
          <w:spacing w:val="-3"/>
          <w:sz w:val="24"/>
        </w:rPr>
        <w:t xml:space="preserve"> </w:t>
      </w:r>
      <w:r>
        <w:rPr>
          <w:sz w:val="24"/>
        </w:rPr>
        <w:t>funds;</w:t>
      </w:r>
    </w:p>
    <w:p w14:paraId="0CD92168" w14:textId="77777777" w:rsidR="007B48CC" w:rsidRDefault="00E90905">
      <w:pPr>
        <w:pStyle w:val="ListParagraph"/>
        <w:numPr>
          <w:ilvl w:val="2"/>
          <w:numId w:val="13"/>
        </w:numPr>
        <w:tabs>
          <w:tab w:val="left" w:pos="1734"/>
        </w:tabs>
        <w:spacing w:before="4"/>
        <w:ind w:left="1733" w:hanging="282"/>
        <w:jc w:val="both"/>
        <w:rPr>
          <w:sz w:val="24"/>
        </w:rPr>
      </w:pPr>
      <w:r>
        <w:rPr>
          <w:sz w:val="24"/>
        </w:rPr>
        <w:t>the day-to-day operations and management of THO;</w:t>
      </w:r>
      <w:r>
        <w:rPr>
          <w:spacing w:val="-20"/>
          <w:sz w:val="24"/>
        </w:rPr>
        <w:t xml:space="preserve"> </w:t>
      </w:r>
      <w:r>
        <w:rPr>
          <w:sz w:val="24"/>
        </w:rPr>
        <w:t>and</w:t>
      </w:r>
    </w:p>
    <w:p w14:paraId="00E34C7B" w14:textId="77777777" w:rsidR="007B48CC" w:rsidRDefault="00E90905">
      <w:pPr>
        <w:pStyle w:val="ListParagraph"/>
        <w:numPr>
          <w:ilvl w:val="2"/>
          <w:numId w:val="13"/>
        </w:numPr>
        <w:tabs>
          <w:tab w:val="left" w:pos="1734"/>
        </w:tabs>
        <w:spacing w:before="40" w:line="276" w:lineRule="auto"/>
        <w:ind w:left="1733" w:right="215" w:hanging="281"/>
        <w:jc w:val="both"/>
        <w:rPr>
          <w:sz w:val="24"/>
        </w:rPr>
      </w:pPr>
      <w:r>
        <w:rPr>
          <w:sz w:val="24"/>
        </w:rPr>
        <w:t xml:space="preserve">ensuring that the THO operates an effective system of governance, decision-making and financial management in accordance with the legislation, the Scheme, the Framework Document agreed between  DCLG and THO and the requirements in </w:t>
      </w:r>
      <w:r>
        <w:rPr>
          <w:i/>
          <w:sz w:val="24"/>
        </w:rPr>
        <w:t>Managing Public Money</w:t>
      </w:r>
      <w:r>
        <w:rPr>
          <w:sz w:val="24"/>
        </w:rPr>
        <w:t>, as well as directions and guidance issued from time to time by DCLG, the Treasury, and the Cabinet Office.</w:t>
      </w:r>
    </w:p>
    <w:p w14:paraId="2AF9B8EA" w14:textId="77777777" w:rsidR="007B48CC" w:rsidRDefault="007B48CC">
      <w:pPr>
        <w:pStyle w:val="BodyText"/>
        <w:spacing w:before="3"/>
        <w:rPr>
          <w:sz w:val="27"/>
        </w:rPr>
      </w:pPr>
    </w:p>
    <w:p w14:paraId="4937C59F" w14:textId="77777777" w:rsidR="007B48CC" w:rsidRDefault="00E90905">
      <w:pPr>
        <w:pStyle w:val="ListParagraph"/>
        <w:numPr>
          <w:ilvl w:val="1"/>
          <w:numId w:val="13"/>
        </w:numPr>
        <w:tabs>
          <w:tab w:val="left" w:pos="1453"/>
        </w:tabs>
        <w:ind w:left="1452" w:hanging="853"/>
        <w:jc w:val="both"/>
        <w:rPr>
          <w:sz w:val="24"/>
        </w:rPr>
      </w:pPr>
      <w:r>
        <w:rPr>
          <w:sz w:val="24"/>
        </w:rPr>
        <w:t>The AO’s responsibilities for accounting to parliament</w:t>
      </w:r>
      <w:r>
        <w:rPr>
          <w:spacing w:val="-9"/>
          <w:sz w:val="24"/>
        </w:rPr>
        <w:t xml:space="preserve"> </w:t>
      </w:r>
      <w:r>
        <w:rPr>
          <w:sz w:val="24"/>
        </w:rPr>
        <w:t>include:</w:t>
      </w:r>
    </w:p>
    <w:p w14:paraId="7BA53738" w14:textId="77777777" w:rsidR="007B48CC" w:rsidRDefault="00E90905">
      <w:pPr>
        <w:pStyle w:val="ListParagraph"/>
        <w:numPr>
          <w:ilvl w:val="2"/>
          <w:numId w:val="13"/>
        </w:numPr>
        <w:tabs>
          <w:tab w:val="left" w:pos="1878"/>
        </w:tabs>
        <w:spacing w:before="39" w:line="276" w:lineRule="auto"/>
        <w:ind w:left="1877" w:right="221" w:hanging="425"/>
        <w:jc w:val="both"/>
        <w:rPr>
          <w:sz w:val="24"/>
        </w:rPr>
      </w:pPr>
      <w:r>
        <w:rPr>
          <w:sz w:val="24"/>
        </w:rPr>
        <w:t>signing the accounts and ensuring that proper records are kept relating to the accounts and that the accounts are properly prepared and presented in accordance with any directions issued by the Secretary of State or</w:t>
      </w:r>
      <w:r>
        <w:rPr>
          <w:spacing w:val="-1"/>
          <w:sz w:val="24"/>
        </w:rPr>
        <w:t xml:space="preserve"> </w:t>
      </w:r>
      <w:r>
        <w:rPr>
          <w:sz w:val="24"/>
        </w:rPr>
        <w:t>HMT;</w:t>
      </w:r>
    </w:p>
    <w:p w14:paraId="0C444866" w14:textId="77777777" w:rsidR="007B48CC" w:rsidRDefault="00E90905">
      <w:pPr>
        <w:pStyle w:val="ListParagraph"/>
        <w:numPr>
          <w:ilvl w:val="2"/>
          <w:numId w:val="13"/>
        </w:numPr>
        <w:tabs>
          <w:tab w:val="left" w:pos="1878"/>
        </w:tabs>
        <w:spacing w:line="273" w:lineRule="auto"/>
        <w:ind w:left="1877" w:right="217" w:hanging="425"/>
        <w:jc w:val="both"/>
        <w:rPr>
          <w:sz w:val="24"/>
        </w:rPr>
      </w:pPr>
      <w:r>
        <w:rPr>
          <w:sz w:val="24"/>
        </w:rPr>
        <w:t>preparing and signing a Governance Statement covering corporate governance, risk management and oversight of any local responsibilities, for inclusion in the annual report and</w:t>
      </w:r>
      <w:r>
        <w:rPr>
          <w:spacing w:val="-7"/>
          <w:sz w:val="24"/>
        </w:rPr>
        <w:t xml:space="preserve"> </w:t>
      </w:r>
      <w:r>
        <w:rPr>
          <w:sz w:val="24"/>
        </w:rPr>
        <w:t>accounts;</w:t>
      </w:r>
    </w:p>
    <w:p w14:paraId="329A17A5" w14:textId="77777777" w:rsidR="007B48CC" w:rsidRDefault="00E90905">
      <w:pPr>
        <w:pStyle w:val="ListParagraph"/>
        <w:numPr>
          <w:ilvl w:val="2"/>
          <w:numId w:val="13"/>
        </w:numPr>
        <w:tabs>
          <w:tab w:val="left" w:pos="1878"/>
        </w:tabs>
        <w:spacing w:line="273" w:lineRule="auto"/>
        <w:ind w:left="1877" w:right="214" w:hanging="425"/>
        <w:jc w:val="both"/>
        <w:rPr>
          <w:sz w:val="24"/>
        </w:rPr>
      </w:pPr>
      <w:r>
        <w:rPr>
          <w:sz w:val="24"/>
        </w:rPr>
        <w:t>ensuring that effective procedures for handling complaints about the HOS are established and made widely known within the</w:t>
      </w:r>
      <w:r>
        <w:rPr>
          <w:spacing w:val="-2"/>
          <w:sz w:val="24"/>
        </w:rPr>
        <w:t xml:space="preserve"> </w:t>
      </w:r>
      <w:r>
        <w:rPr>
          <w:sz w:val="24"/>
        </w:rPr>
        <w:t>HOS;</w:t>
      </w:r>
    </w:p>
    <w:p w14:paraId="5C89DD52" w14:textId="77777777" w:rsidR="007B48CC" w:rsidRDefault="00E90905">
      <w:pPr>
        <w:pStyle w:val="ListParagraph"/>
        <w:numPr>
          <w:ilvl w:val="2"/>
          <w:numId w:val="13"/>
        </w:numPr>
        <w:tabs>
          <w:tab w:val="left" w:pos="1878"/>
        </w:tabs>
        <w:spacing w:line="276" w:lineRule="auto"/>
        <w:ind w:left="1877" w:right="215" w:hanging="425"/>
        <w:jc w:val="both"/>
        <w:rPr>
          <w:sz w:val="24"/>
        </w:rPr>
      </w:pPr>
      <w:r>
        <w:rPr>
          <w:sz w:val="24"/>
        </w:rPr>
        <w:t xml:space="preserve">acting in accordance with the terms of this document, </w:t>
      </w:r>
      <w:r>
        <w:rPr>
          <w:i/>
          <w:sz w:val="24"/>
        </w:rPr>
        <w:t xml:space="preserve">Managing Public Money </w:t>
      </w:r>
      <w:r>
        <w:rPr>
          <w:sz w:val="24"/>
        </w:rPr>
        <w:t>and other instructions and guidance issued from time to time by DCLG, HM Treasury and the Cabinet Office;</w:t>
      </w:r>
      <w:r>
        <w:rPr>
          <w:spacing w:val="-7"/>
          <w:sz w:val="24"/>
        </w:rPr>
        <w:t xml:space="preserve"> </w:t>
      </w:r>
      <w:r>
        <w:rPr>
          <w:sz w:val="24"/>
        </w:rPr>
        <w:t>and</w:t>
      </w:r>
    </w:p>
    <w:p w14:paraId="2FFC7E76" w14:textId="77777777" w:rsidR="007B48CC" w:rsidRDefault="00E90905">
      <w:pPr>
        <w:pStyle w:val="ListParagraph"/>
        <w:numPr>
          <w:ilvl w:val="2"/>
          <w:numId w:val="13"/>
        </w:numPr>
        <w:tabs>
          <w:tab w:val="left" w:pos="1878"/>
        </w:tabs>
        <w:spacing w:line="273" w:lineRule="auto"/>
        <w:ind w:left="1877" w:right="214" w:hanging="425"/>
        <w:jc w:val="both"/>
        <w:rPr>
          <w:sz w:val="24"/>
        </w:rPr>
      </w:pPr>
      <w:r>
        <w:rPr>
          <w:sz w:val="24"/>
        </w:rPr>
        <w:t>giving evidence, normally with the PAO, when summoned before the Public Accounts Committee (“PAC”) on THO’s stewardship of public funds.</w:t>
      </w:r>
    </w:p>
    <w:p w14:paraId="048C4F62" w14:textId="77777777" w:rsidR="007B48CC" w:rsidRDefault="007B48CC">
      <w:pPr>
        <w:pStyle w:val="BodyText"/>
        <w:spacing w:before="10"/>
        <w:rPr>
          <w:sz w:val="27"/>
        </w:rPr>
      </w:pPr>
    </w:p>
    <w:p w14:paraId="15CE2644" w14:textId="77777777" w:rsidR="007B48CC" w:rsidRDefault="00E90905">
      <w:pPr>
        <w:pStyle w:val="ListParagraph"/>
        <w:numPr>
          <w:ilvl w:val="1"/>
          <w:numId w:val="13"/>
        </w:numPr>
        <w:tabs>
          <w:tab w:val="left" w:pos="1453"/>
        </w:tabs>
        <w:ind w:left="1452" w:hanging="853"/>
        <w:jc w:val="both"/>
        <w:rPr>
          <w:sz w:val="24"/>
        </w:rPr>
      </w:pPr>
      <w:r>
        <w:rPr>
          <w:sz w:val="24"/>
        </w:rPr>
        <w:t>The AO</w:t>
      </w:r>
      <w:r>
        <w:rPr>
          <w:spacing w:val="-2"/>
          <w:sz w:val="24"/>
        </w:rPr>
        <w:t xml:space="preserve"> </w:t>
      </w:r>
      <w:r>
        <w:rPr>
          <w:sz w:val="24"/>
        </w:rPr>
        <w:t>will:</w:t>
      </w:r>
    </w:p>
    <w:p w14:paraId="209EB301" w14:textId="77777777" w:rsidR="007B48CC" w:rsidRDefault="00E90905">
      <w:pPr>
        <w:pStyle w:val="ListParagraph"/>
        <w:numPr>
          <w:ilvl w:val="2"/>
          <w:numId w:val="13"/>
        </w:numPr>
        <w:tabs>
          <w:tab w:val="left" w:pos="1878"/>
        </w:tabs>
        <w:spacing w:before="39" w:line="276" w:lineRule="auto"/>
        <w:ind w:left="1877" w:right="218" w:hanging="425"/>
        <w:jc w:val="both"/>
        <w:rPr>
          <w:sz w:val="24"/>
        </w:rPr>
      </w:pPr>
      <w:r>
        <w:rPr>
          <w:sz w:val="24"/>
        </w:rPr>
        <w:t>inform DCLG of progress in delivering THO’s corporate and business plans; in fulfilling his or her statutory functions; and in demonstrating how resources are being used to achieve those</w:t>
      </w:r>
      <w:r>
        <w:rPr>
          <w:spacing w:val="-5"/>
          <w:sz w:val="24"/>
        </w:rPr>
        <w:t xml:space="preserve"> </w:t>
      </w:r>
      <w:r>
        <w:rPr>
          <w:sz w:val="24"/>
        </w:rPr>
        <w:t>priorities;</w:t>
      </w:r>
    </w:p>
    <w:p w14:paraId="0345FEF7" w14:textId="77777777" w:rsidR="007B48CC" w:rsidRDefault="00E90905">
      <w:pPr>
        <w:pStyle w:val="ListParagraph"/>
        <w:numPr>
          <w:ilvl w:val="2"/>
          <w:numId w:val="13"/>
        </w:numPr>
        <w:tabs>
          <w:tab w:val="left" w:pos="1878"/>
        </w:tabs>
        <w:spacing w:line="273" w:lineRule="auto"/>
        <w:ind w:left="1877" w:right="220" w:hanging="425"/>
        <w:jc w:val="both"/>
        <w:rPr>
          <w:sz w:val="24"/>
        </w:rPr>
      </w:pPr>
      <w:r>
        <w:rPr>
          <w:sz w:val="24"/>
        </w:rPr>
        <w:t>provide timely forecasts and monitoring information on performance and finance to</w:t>
      </w:r>
      <w:r>
        <w:rPr>
          <w:spacing w:val="-3"/>
          <w:sz w:val="24"/>
        </w:rPr>
        <w:t xml:space="preserve"> </w:t>
      </w:r>
      <w:r>
        <w:rPr>
          <w:sz w:val="24"/>
        </w:rPr>
        <w:t>DCLG;</w:t>
      </w:r>
    </w:p>
    <w:p w14:paraId="2F52F5CA" w14:textId="77777777" w:rsidR="007B48CC" w:rsidRDefault="007B48CC">
      <w:pPr>
        <w:spacing w:line="273" w:lineRule="auto"/>
        <w:jc w:val="both"/>
        <w:rPr>
          <w:sz w:val="24"/>
        </w:rPr>
        <w:sectPr w:rsidR="007B48CC">
          <w:pgSz w:w="11910" w:h="16840"/>
          <w:pgMar w:top="1340" w:right="1220" w:bottom="1240" w:left="840" w:header="0" w:footer="1054" w:gutter="0"/>
          <w:cols w:space="720"/>
        </w:sectPr>
      </w:pPr>
    </w:p>
    <w:p w14:paraId="1CAC18BC" w14:textId="77777777" w:rsidR="007B48CC" w:rsidRDefault="00E90905">
      <w:pPr>
        <w:pStyle w:val="ListParagraph"/>
        <w:numPr>
          <w:ilvl w:val="2"/>
          <w:numId w:val="13"/>
        </w:numPr>
        <w:tabs>
          <w:tab w:val="left" w:pos="1878"/>
        </w:tabs>
        <w:spacing w:before="78" w:line="273" w:lineRule="auto"/>
        <w:ind w:left="1877" w:right="225" w:hanging="360"/>
        <w:jc w:val="both"/>
        <w:rPr>
          <w:sz w:val="24"/>
        </w:rPr>
      </w:pPr>
      <w:r>
        <w:rPr>
          <w:sz w:val="24"/>
        </w:rPr>
        <w:lastRenderedPageBreak/>
        <w:t>promptly notify DCLG if over or under spends are likely and ensuring that corrective action is</w:t>
      </w:r>
      <w:r>
        <w:rPr>
          <w:spacing w:val="-4"/>
          <w:sz w:val="24"/>
        </w:rPr>
        <w:t xml:space="preserve"> </w:t>
      </w:r>
      <w:r>
        <w:rPr>
          <w:sz w:val="24"/>
        </w:rPr>
        <w:t>taken;</w:t>
      </w:r>
    </w:p>
    <w:p w14:paraId="113DA051" w14:textId="77777777" w:rsidR="007B48CC" w:rsidRDefault="00E90905">
      <w:pPr>
        <w:pStyle w:val="ListParagraph"/>
        <w:numPr>
          <w:ilvl w:val="2"/>
          <w:numId w:val="13"/>
        </w:numPr>
        <w:tabs>
          <w:tab w:val="left" w:pos="1878"/>
        </w:tabs>
        <w:spacing w:before="1" w:line="273" w:lineRule="auto"/>
        <w:ind w:left="1877" w:right="219" w:hanging="360"/>
        <w:jc w:val="both"/>
        <w:rPr>
          <w:sz w:val="24"/>
        </w:rPr>
      </w:pPr>
      <w:r>
        <w:rPr>
          <w:sz w:val="24"/>
        </w:rPr>
        <w:t>ensure that any significant problems, whether financial or otherwise, are immediately notified to DCLG with proposals to address them where possible.</w:t>
      </w:r>
    </w:p>
    <w:p w14:paraId="043C09DD" w14:textId="77777777" w:rsidR="007B48CC" w:rsidRDefault="007B48CC">
      <w:pPr>
        <w:spacing w:line="273" w:lineRule="auto"/>
        <w:jc w:val="both"/>
        <w:rPr>
          <w:sz w:val="24"/>
        </w:rPr>
        <w:sectPr w:rsidR="007B48CC">
          <w:pgSz w:w="11910" w:h="16840"/>
          <w:pgMar w:top="1340" w:right="1220" w:bottom="1240" w:left="840" w:header="0" w:footer="1054" w:gutter="0"/>
          <w:cols w:space="720"/>
        </w:sectPr>
      </w:pPr>
    </w:p>
    <w:p w14:paraId="0E530CE0" w14:textId="77777777" w:rsidR="007B48CC" w:rsidRDefault="00E90905">
      <w:pPr>
        <w:pStyle w:val="Heading1"/>
        <w:numPr>
          <w:ilvl w:val="0"/>
          <w:numId w:val="13"/>
        </w:numPr>
        <w:tabs>
          <w:tab w:val="left" w:pos="1226"/>
          <w:tab w:val="left" w:pos="1227"/>
        </w:tabs>
        <w:spacing w:before="154"/>
        <w:ind w:left="1226" w:hanging="627"/>
        <w:rPr>
          <w:color w:val="1F1F1F"/>
        </w:rPr>
      </w:pPr>
      <w:r>
        <w:rPr>
          <w:color w:val="1F1F1F"/>
        </w:rPr>
        <w:lastRenderedPageBreak/>
        <w:t>Governance and</w:t>
      </w:r>
      <w:r>
        <w:rPr>
          <w:color w:val="1F1F1F"/>
          <w:spacing w:val="-4"/>
        </w:rPr>
        <w:t xml:space="preserve"> </w:t>
      </w:r>
      <w:r>
        <w:rPr>
          <w:color w:val="1F1F1F"/>
        </w:rPr>
        <w:t>structure</w:t>
      </w:r>
    </w:p>
    <w:p w14:paraId="23219996" w14:textId="77777777" w:rsidR="007B48CC" w:rsidRDefault="007B48CC">
      <w:pPr>
        <w:pStyle w:val="BodyText"/>
        <w:rPr>
          <w:b/>
          <w:sz w:val="36"/>
        </w:rPr>
      </w:pPr>
    </w:p>
    <w:p w14:paraId="5B0DC969" w14:textId="77777777" w:rsidR="007B48CC" w:rsidRDefault="00E90905">
      <w:pPr>
        <w:pStyle w:val="ListParagraph"/>
        <w:numPr>
          <w:ilvl w:val="1"/>
          <w:numId w:val="13"/>
        </w:numPr>
        <w:tabs>
          <w:tab w:val="left" w:pos="1321"/>
        </w:tabs>
        <w:spacing w:before="267" w:line="276" w:lineRule="auto"/>
        <w:ind w:left="1320" w:right="215" w:hanging="720"/>
        <w:jc w:val="both"/>
        <w:rPr>
          <w:sz w:val="24"/>
        </w:rPr>
      </w:pPr>
      <w:r>
        <w:rPr>
          <w:sz w:val="24"/>
        </w:rPr>
        <w:t>The Housing Ombudsman is a Corporation Sole. The Corporation is constituted in the person of the Housing Ombudsman and his or her successors in that office. As a public appointee the Housing Ombudsman is not an employee of the Corporation</w:t>
      </w:r>
      <w:r>
        <w:rPr>
          <w:spacing w:val="-3"/>
          <w:sz w:val="24"/>
        </w:rPr>
        <w:t xml:space="preserve"> </w:t>
      </w:r>
      <w:r>
        <w:rPr>
          <w:sz w:val="24"/>
        </w:rPr>
        <w:t>Sole.</w:t>
      </w:r>
    </w:p>
    <w:p w14:paraId="3AF4AAA5" w14:textId="77777777" w:rsidR="007B48CC" w:rsidRDefault="007B48CC">
      <w:pPr>
        <w:pStyle w:val="BodyText"/>
        <w:spacing w:before="6"/>
        <w:rPr>
          <w:sz w:val="27"/>
        </w:rPr>
      </w:pPr>
    </w:p>
    <w:p w14:paraId="57434C30" w14:textId="77777777" w:rsidR="007B48CC" w:rsidRDefault="00E90905">
      <w:pPr>
        <w:pStyle w:val="ListParagraph"/>
        <w:numPr>
          <w:ilvl w:val="1"/>
          <w:numId w:val="13"/>
        </w:numPr>
        <w:tabs>
          <w:tab w:val="left" w:pos="1321"/>
        </w:tabs>
        <w:spacing w:line="276" w:lineRule="auto"/>
        <w:ind w:left="1320" w:right="217" w:hanging="720"/>
        <w:jc w:val="both"/>
        <w:rPr>
          <w:sz w:val="24"/>
        </w:rPr>
      </w:pPr>
      <w:r>
        <w:rPr>
          <w:sz w:val="24"/>
        </w:rPr>
        <w:t>The Corporation Sole is a distinct legal entity with legal capacity. As a corporation sole, the Housing Ombudsman does not have a Board of Directors – that role and function, and all property, rights, assets, and  liabilities are vested in the appointed Housing</w:t>
      </w:r>
      <w:r>
        <w:rPr>
          <w:spacing w:val="-6"/>
          <w:sz w:val="24"/>
        </w:rPr>
        <w:t xml:space="preserve"> </w:t>
      </w:r>
      <w:r>
        <w:rPr>
          <w:sz w:val="24"/>
        </w:rPr>
        <w:t>Ombudsman.</w:t>
      </w:r>
    </w:p>
    <w:p w14:paraId="4BCEBBE2" w14:textId="77777777" w:rsidR="007B48CC" w:rsidRDefault="007B48CC">
      <w:pPr>
        <w:pStyle w:val="BodyText"/>
        <w:rPr>
          <w:sz w:val="21"/>
        </w:rPr>
      </w:pPr>
    </w:p>
    <w:p w14:paraId="550A9CE6" w14:textId="77777777" w:rsidR="007B48CC" w:rsidRDefault="00E90905">
      <w:pPr>
        <w:pStyle w:val="ListParagraph"/>
        <w:numPr>
          <w:ilvl w:val="1"/>
          <w:numId w:val="13"/>
        </w:numPr>
        <w:tabs>
          <w:tab w:val="left" w:pos="1321"/>
        </w:tabs>
        <w:spacing w:line="276" w:lineRule="auto"/>
        <w:ind w:left="1320" w:right="219" w:hanging="720"/>
        <w:jc w:val="both"/>
        <w:rPr>
          <w:sz w:val="24"/>
        </w:rPr>
      </w:pPr>
      <w:r>
        <w:rPr>
          <w:sz w:val="24"/>
        </w:rPr>
        <w:t>THO administers and operates in accordance with the Housing Ombudsman Scheme (the Scheme) which was approved by the Secretary of State for Communities and Local Government under section 51 of, and Schedule 2 to, the Housing Act</w:t>
      </w:r>
      <w:r>
        <w:rPr>
          <w:spacing w:val="-4"/>
          <w:sz w:val="24"/>
        </w:rPr>
        <w:t xml:space="preserve"> </w:t>
      </w:r>
      <w:r>
        <w:rPr>
          <w:sz w:val="24"/>
        </w:rPr>
        <w:t>1996.</w:t>
      </w:r>
    </w:p>
    <w:p w14:paraId="13320E8E" w14:textId="77777777" w:rsidR="007B48CC" w:rsidRDefault="00E90905">
      <w:pPr>
        <w:pStyle w:val="BodyText"/>
        <w:spacing w:before="201" w:line="276" w:lineRule="auto"/>
        <w:ind w:left="1320" w:right="215" w:hanging="720"/>
        <w:jc w:val="both"/>
      </w:pPr>
      <w:r>
        <w:t xml:space="preserve">4.4. Membership of the Scheme is compulsory for social landlords  (primarily  housing associations who are or have been registered with the social housing regulator) and local housing authorities. Additionally, a number of managing agents and private landlords are voluntary members. </w:t>
      </w:r>
      <w:r>
        <w:rPr>
          <w:color w:val="242424"/>
        </w:rPr>
        <w:t>THO is funded through a subscr</w:t>
      </w:r>
      <w:r>
        <w:rPr>
          <w:color w:val="424242"/>
        </w:rPr>
        <w:t>i</w:t>
      </w:r>
      <w:r>
        <w:rPr>
          <w:color w:val="242424"/>
        </w:rPr>
        <w:t xml:space="preserve">ption from members on a per unit basis. </w:t>
      </w:r>
      <w:r>
        <w:rPr>
          <w:color w:val="202020"/>
        </w:rPr>
        <w:t xml:space="preserve">THO may </w:t>
      </w:r>
      <w:r>
        <w:rPr>
          <w:color w:val="242424"/>
        </w:rPr>
        <w:t>increase subscriptions only with the approval of the Secretary of State. Provision is made in the Scheme for funding to be provided by way of grant-in-aid should this be</w:t>
      </w:r>
      <w:r>
        <w:rPr>
          <w:color w:val="242424"/>
          <w:spacing w:val="-3"/>
        </w:rPr>
        <w:t xml:space="preserve"> </w:t>
      </w:r>
      <w:r>
        <w:rPr>
          <w:color w:val="242424"/>
        </w:rPr>
        <w:t>necessary.</w:t>
      </w:r>
    </w:p>
    <w:p w14:paraId="02651FC0" w14:textId="77777777" w:rsidR="007B48CC" w:rsidRDefault="00E90905">
      <w:pPr>
        <w:pStyle w:val="ListParagraph"/>
        <w:numPr>
          <w:ilvl w:val="1"/>
          <w:numId w:val="11"/>
        </w:numPr>
        <w:tabs>
          <w:tab w:val="left" w:pos="1321"/>
        </w:tabs>
        <w:spacing w:before="200" w:line="276" w:lineRule="auto"/>
        <w:ind w:right="213"/>
        <w:jc w:val="both"/>
        <w:rPr>
          <w:color w:val="242424"/>
          <w:sz w:val="24"/>
        </w:rPr>
      </w:pPr>
      <w:r>
        <w:rPr>
          <w:sz w:val="24"/>
        </w:rPr>
        <w:t>Under the terms of the legislation and the Scheme, THO is appointed both as Ombudsman to make determinations and as the independent person to administer the Scheme. THO is enabled to establish and maintain an organisation, staff and employees to assist THO in the discharge of his or her functions. THO and his or her staff operate in accordance with the Scheme and, collectively, they are known as the</w:t>
      </w:r>
      <w:r>
        <w:rPr>
          <w:spacing w:val="-6"/>
          <w:sz w:val="24"/>
        </w:rPr>
        <w:t xml:space="preserve"> </w:t>
      </w:r>
      <w:r>
        <w:rPr>
          <w:sz w:val="24"/>
        </w:rPr>
        <w:t>HOS).</w:t>
      </w:r>
    </w:p>
    <w:p w14:paraId="7C7FCB22" w14:textId="77777777" w:rsidR="007B48CC" w:rsidRDefault="007B48CC">
      <w:pPr>
        <w:pStyle w:val="BodyText"/>
        <w:rPr>
          <w:sz w:val="26"/>
        </w:rPr>
      </w:pPr>
    </w:p>
    <w:p w14:paraId="4DA0D502" w14:textId="77777777" w:rsidR="007B48CC" w:rsidRDefault="00E90905">
      <w:pPr>
        <w:pStyle w:val="ListParagraph"/>
        <w:numPr>
          <w:ilvl w:val="1"/>
          <w:numId w:val="11"/>
        </w:numPr>
        <w:tabs>
          <w:tab w:val="left" w:pos="1321"/>
        </w:tabs>
        <w:spacing w:before="219" w:line="276" w:lineRule="auto"/>
        <w:ind w:right="214"/>
        <w:jc w:val="both"/>
        <w:rPr>
          <w:color w:val="1F1F1F"/>
          <w:sz w:val="24"/>
        </w:rPr>
      </w:pPr>
      <w:r>
        <w:rPr>
          <w:color w:val="1F1F1F"/>
          <w:sz w:val="24"/>
        </w:rPr>
        <w:t>THO is solely responsible for the conduct of dispute resolution and the determination of complaints. He or she must be independent and reach fair and impartial decisions when exercising these functions. Staff exercising these functions do so on behalf of the Ombudsman under the Ombudsman’s delegated</w:t>
      </w:r>
      <w:r>
        <w:rPr>
          <w:color w:val="1F1F1F"/>
          <w:spacing w:val="-1"/>
          <w:sz w:val="24"/>
        </w:rPr>
        <w:t xml:space="preserve"> </w:t>
      </w:r>
      <w:r>
        <w:rPr>
          <w:color w:val="1F1F1F"/>
          <w:sz w:val="24"/>
        </w:rPr>
        <w:t>authority.</w:t>
      </w:r>
    </w:p>
    <w:p w14:paraId="2E188FA9" w14:textId="77777777" w:rsidR="007B48CC" w:rsidRDefault="007B48CC">
      <w:pPr>
        <w:pStyle w:val="BodyText"/>
        <w:spacing w:before="6"/>
        <w:rPr>
          <w:sz w:val="27"/>
        </w:rPr>
      </w:pPr>
    </w:p>
    <w:p w14:paraId="7F4C0960" w14:textId="77777777" w:rsidR="007B48CC" w:rsidRDefault="00E90905">
      <w:pPr>
        <w:pStyle w:val="BodyText"/>
        <w:spacing w:line="278" w:lineRule="auto"/>
        <w:ind w:left="1320" w:right="217" w:hanging="720"/>
        <w:jc w:val="both"/>
      </w:pPr>
      <w:r>
        <w:rPr>
          <w:color w:val="1F1F1F"/>
        </w:rPr>
        <w:t>4.7. THO will employ a Senior Leadership team who  will  support, assure and  advise him or her in the exercise of all THO’s responsibilities,</w:t>
      </w:r>
      <w:r>
        <w:rPr>
          <w:color w:val="1F1F1F"/>
          <w:spacing w:val="52"/>
        </w:rPr>
        <w:t xml:space="preserve"> </w:t>
      </w:r>
      <w:r>
        <w:rPr>
          <w:color w:val="1F1F1F"/>
        </w:rPr>
        <w:t>including</w:t>
      </w:r>
    </w:p>
    <w:p w14:paraId="2310B6EA" w14:textId="77777777" w:rsidR="007B48CC" w:rsidRDefault="007B48CC">
      <w:pPr>
        <w:spacing w:line="278" w:lineRule="auto"/>
        <w:jc w:val="both"/>
        <w:sectPr w:rsidR="007B48CC">
          <w:pgSz w:w="11910" w:h="16840"/>
          <w:pgMar w:top="1580" w:right="1220" w:bottom="1240" w:left="840" w:header="0" w:footer="1054" w:gutter="0"/>
          <w:cols w:space="720"/>
        </w:sectPr>
      </w:pPr>
    </w:p>
    <w:p w14:paraId="5345FF68" w14:textId="77777777" w:rsidR="007B48CC" w:rsidRDefault="00E90905">
      <w:pPr>
        <w:pStyle w:val="BodyText"/>
        <w:spacing w:before="80" w:line="276" w:lineRule="auto"/>
        <w:ind w:left="1320" w:right="226"/>
      </w:pPr>
      <w:r>
        <w:rPr>
          <w:color w:val="1F1F1F"/>
        </w:rPr>
        <w:lastRenderedPageBreak/>
        <w:t>advising on and helping to adapt the strategic direction and operational plans for the HOS as necessary.</w:t>
      </w:r>
    </w:p>
    <w:p w14:paraId="3F640ECD" w14:textId="77777777" w:rsidR="007B48CC" w:rsidRDefault="007B48CC">
      <w:pPr>
        <w:pStyle w:val="BodyText"/>
        <w:spacing w:before="7"/>
        <w:rPr>
          <w:sz w:val="27"/>
        </w:rPr>
      </w:pPr>
    </w:p>
    <w:p w14:paraId="7C989607" w14:textId="77777777" w:rsidR="007B48CC" w:rsidRDefault="00E90905">
      <w:pPr>
        <w:pStyle w:val="ListParagraph"/>
        <w:numPr>
          <w:ilvl w:val="1"/>
          <w:numId w:val="10"/>
        </w:numPr>
        <w:tabs>
          <w:tab w:val="left" w:pos="1321"/>
        </w:tabs>
        <w:spacing w:line="276" w:lineRule="auto"/>
        <w:ind w:right="215"/>
        <w:jc w:val="both"/>
        <w:rPr>
          <w:sz w:val="24"/>
        </w:rPr>
      </w:pPr>
      <w:r>
        <w:rPr>
          <w:color w:val="1F1F1F"/>
          <w:sz w:val="24"/>
        </w:rPr>
        <w:t>THO must appoint, with involvement from DCLG Partnership and Delivery Unit, and the approval of the Secretary of State, an Audit and Risk Assurance Committee ("the ARAC"). Any reappointments will be agreed with DCLG. The ARAC must comply with HM Treasury best practice (currently set out in the Audit and Risk Assurance Committee handbook) with adaptations appropriate to the governance structure of THO. The current terms of reference of the ARAC are set out at Annex A to this Framework Document. These reflect current best practice and may be updated by agreement between the DCLG Permanent Secretary (as PAO) or his or her representative (normally the DCLG Director of Housing Standards and Support) and the Housing Ombudsman (as</w:t>
      </w:r>
      <w:r>
        <w:rPr>
          <w:color w:val="1F1F1F"/>
          <w:spacing w:val="-2"/>
          <w:sz w:val="24"/>
        </w:rPr>
        <w:t xml:space="preserve"> </w:t>
      </w:r>
      <w:r>
        <w:rPr>
          <w:color w:val="1F1F1F"/>
          <w:sz w:val="24"/>
        </w:rPr>
        <w:t>AO).</w:t>
      </w:r>
    </w:p>
    <w:p w14:paraId="04C0764B" w14:textId="77777777" w:rsidR="007B48CC" w:rsidRDefault="007B48CC">
      <w:pPr>
        <w:pStyle w:val="BodyText"/>
        <w:spacing w:before="8"/>
        <w:rPr>
          <w:sz w:val="27"/>
        </w:rPr>
      </w:pPr>
    </w:p>
    <w:p w14:paraId="6686D683" w14:textId="77777777" w:rsidR="007B48CC" w:rsidRDefault="00E90905">
      <w:pPr>
        <w:pStyle w:val="ListParagraph"/>
        <w:numPr>
          <w:ilvl w:val="1"/>
          <w:numId w:val="10"/>
        </w:numPr>
        <w:tabs>
          <w:tab w:val="left" w:pos="1321"/>
        </w:tabs>
        <w:spacing w:line="276" w:lineRule="auto"/>
        <w:ind w:right="216"/>
        <w:jc w:val="both"/>
        <w:rPr>
          <w:sz w:val="24"/>
        </w:rPr>
      </w:pPr>
      <w:r>
        <w:rPr>
          <w:color w:val="1F1F1F"/>
          <w:sz w:val="24"/>
        </w:rPr>
        <w:t>THO may appoint, with involvement from DCLG Partnership and Delivery Unit, a Panel of Advisors (the Panel). The Panel will assist in such matters as THO considers relevant and as set out in its terms of reference. The current terms of reference of the Panel are set out at Annex B to this Framework Document. These reflect current best practice and may be updated by agreement between the DCLG Director of Housing Standards and Support and the Housing</w:t>
      </w:r>
      <w:r>
        <w:rPr>
          <w:color w:val="1F1F1F"/>
          <w:spacing w:val="-6"/>
          <w:sz w:val="24"/>
        </w:rPr>
        <w:t xml:space="preserve"> </w:t>
      </w:r>
      <w:r>
        <w:rPr>
          <w:color w:val="1F1F1F"/>
          <w:sz w:val="24"/>
        </w:rPr>
        <w:t>Ombudsman.</w:t>
      </w:r>
    </w:p>
    <w:p w14:paraId="5DE0536D" w14:textId="77777777" w:rsidR="007B48CC" w:rsidRDefault="007B48CC">
      <w:pPr>
        <w:pStyle w:val="BodyText"/>
        <w:spacing w:before="5"/>
        <w:rPr>
          <w:sz w:val="27"/>
        </w:rPr>
      </w:pPr>
    </w:p>
    <w:p w14:paraId="01ED75C3" w14:textId="77777777" w:rsidR="007B48CC" w:rsidRDefault="00E90905">
      <w:pPr>
        <w:pStyle w:val="ListParagraph"/>
        <w:numPr>
          <w:ilvl w:val="1"/>
          <w:numId w:val="10"/>
        </w:numPr>
        <w:tabs>
          <w:tab w:val="left" w:pos="1321"/>
        </w:tabs>
        <w:spacing w:line="276" w:lineRule="auto"/>
        <w:ind w:right="214"/>
        <w:jc w:val="both"/>
        <w:rPr>
          <w:sz w:val="24"/>
        </w:rPr>
      </w:pPr>
      <w:r>
        <w:rPr>
          <w:color w:val="1F1F1F"/>
          <w:sz w:val="24"/>
        </w:rPr>
        <w:t>Neither the Panel nor the ARAC are legally separate entities from THO.</w:t>
      </w:r>
      <w:r>
        <w:rPr>
          <w:color w:val="202020"/>
          <w:sz w:val="24"/>
        </w:rPr>
        <w:t xml:space="preserve"> Remuneration for members of the ARAC and the Panel will be in line with that received by non-executive members of similar</w:t>
      </w:r>
      <w:r>
        <w:rPr>
          <w:color w:val="202020"/>
          <w:spacing w:val="-2"/>
          <w:sz w:val="24"/>
        </w:rPr>
        <w:t xml:space="preserve"> </w:t>
      </w:r>
      <w:r>
        <w:rPr>
          <w:color w:val="202020"/>
          <w:sz w:val="24"/>
        </w:rPr>
        <w:t>ALBs.</w:t>
      </w:r>
    </w:p>
    <w:p w14:paraId="0DCB624E" w14:textId="77777777" w:rsidR="007B48CC" w:rsidRDefault="007B48CC">
      <w:pPr>
        <w:pStyle w:val="BodyText"/>
        <w:spacing w:before="7"/>
        <w:rPr>
          <w:sz w:val="27"/>
        </w:rPr>
      </w:pPr>
    </w:p>
    <w:p w14:paraId="4E87011C" w14:textId="77777777" w:rsidR="007B48CC" w:rsidRDefault="00E90905">
      <w:pPr>
        <w:pStyle w:val="ListParagraph"/>
        <w:numPr>
          <w:ilvl w:val="1"/>
          <w:numId w:val="10"/>
        </w:numPr>
        <w:tabs>
          <w:tab w:val="left" w:pos="1321"/>
        </w:tabs>
        <w:spacing w:line="276" w:lineRule="auto"/>
        <w:ind w:right="214"/>
        <w:jc w:val="both"/>
        <w:rPr>
          <w:sz w:val="24"/>
        </w:rPr>
      </w:pPr>
      <w:r>
        <w:rPr>
          <w:color w:val="1F1F1F"/>
          <w:sz w:val="24"/>
        </w:rPr>
        <w:t>The Ombudsman is responsible to the Secretary of State as Corporation Sole for administering the Scheme (though not in the exercise of THO’s personal authority as Housing Ombudsman in relation to the conduct of dispute resolution and the determination of complaints). C</w:t>
      </w:r>
      <w:r>
        <w:rPr>
          <w:sz w:val="24"/>
        </w:rPr>
        <w:t>ommunications between THO and the Secretary of State (or the responsible Minister) should normally be through the Ombudsman as administrator of the Scheme. The Ombudsman is responsible for ensuring that THO fulfils its statutory purpose in accordance with the Scheme, delivers its agreed corporate and business plan priorities and that THO’s affairs are conducted with probity. Where appropriate these policies and actions should be communicated throughout the HOS and to residents and</w:t>
      </w:r>
      <w:r>
        <w:rPr>
          <w:spacing w:val="-1"/>
          <w:sz w:val="24"/>
        </w:rPr>
        <w:t xml:space="preserve"> </w:t>
      </w:r>
      <w:r>
        <w:rPr>
          <w:sz w:val="24"/>
        </w:rPr>
        <w:t>members.</w:t>
      </w:r>
    </w:p>
    <w:p w14:paraId="2C42778C" w14:textId="77777777" w:rsidR="007B48CC" w:rsidRDefault="00E90905">
      <w:pPr>
        <w:pStyle w:val="ListParagraph"/>
        <w:numPr>
          <w:ilvl w:val="1"/>
          <w:numId w:val="10"/>
        </w:numPr>
        <w:tabs>
          <w:tab w:val="left" w:pos="1320"/>
          <w:tab w:val="left" w:pos="1321"/>
        </w:tabs>
        <w:spacing w:before="201"/>
        <w:ind w:hanging="721"/>
        <w:rPr>
          <w:sz w:val="24"/>
        </w:rPr>
      </w:pPr>
      <w:r>
        <w:rPr>
          <w:color w:val="1F1F1F"/>
          <w:sz w:val="24"/>
        </w:rPr>
        <w:t>In addition, THO has the following leadership</w:t>
      </w:r>
      <w:r>
        <w:rPr>
          <w:color w:val="1F1F1F"/>
          <w:spacing w:val="-8"/>
          <w:sz w:val="24"/>
        </w:rPr>
        <w:t xml:space="preserve"> </w:t>
      </w:r>
      <w:r>
        <w:rPr>
          <w:color w:val="1F1F1F"/>
          <w:sz w:val="24"/>
        </w:rPr>
        <w:t>responsibilities:</w:t>
      </w:r>
    </w:p>
    <w:p w14:paraId="0CF110AD" w14:textId="77777777" w:rsidR="007B48CC" w:rsidRDefault="007B48CC">
      <w:pPr>
        <w:pStyle w:val="BodyText"/>
        <w:spacing w:before="11"/>
        <w:rPr>
          <w:sz w:val="20"/>
        </w:rPr>
      </w:pPr>
    </w:p>
    <w:p w14:paraId="17197605" w14:textId="77777777" w:rsidR="007B48CC" w:rsidRDefault="00E90905">
      <w:pPr>
        <w:pStyle w:val="ListParagraph"/>
        <w:numPr>
          <w:ilvl w:val="2"/>
          <w:numId w:val="10"/>
        </w:numPr>
        <w:tabs>
          <w:tab w:val="left" w:pos="1865"/>
          <w:tab w:val="left" w:pos="1866"/>
        </w:tabs>
        <w:ind w:hanging="359"/>
        <w:rPr>
          <w:sz w:val="24"/>
        </w:rPr>
      </w:pPr>
      <w:r>
        <w:rPr>
          <w:color w:val="1F1F1F"/>
          <w:sz w:val="24"/>
        </w:rPr>
        <w:t>Formulating THO</w:t>
      </w:r>
      <w:r>
        <w:rPr>
          <w:color w:val="1F1F1F"/>
          <w:spacing w:val="-1"/>
          <w:sz w:val="24"/>
        </w:rPr>
        <w:t xml:space="preserve"> </w:t>
      </w:r>
      <w:r>
        <w:rPr>
          <w:color w:val="1F1F1F"/>
          <w:sz w:val="24"/>
        </w:rPr>
        <w:t>strategy;</w:t>
      </w:r>
    </w:p>
    <w:p w14:paraId="46D167FF" w14:textId="77777777" w:rsidR="007B48CC" w:rsidRDefault="00E90905">
      <w:pPr>
        <w:pStyle w:val="ListParagraph"/>
        <w:numPr>
          <w:ilvl w:val="2"/>
          <w:numId w:val="10"/>
        </w:numPr>
        <w:tabs>
          <w:tab w:val="left" w:pos="1865"/>
          <w:tab w:val="left" w:pos="1866"/>
        </w:tabs>
        <w:spacing w:before="40" w:line="273" w:lineRule="auto"/>
        <w:ind w:right="226"/>
        <w:rPr>
          <w:sz w:val="24"/>
        </w:rPr>
      </w:pPr>
      <w:r>
        <w:rPr>
          <w:color w:val="1F1F1F"/>
          <w:sz w:val="24"/>
        </w:rPr>
        <w:t>Ensuring that THO, in reaching business decisions, takes proper account of guidance provided by the responsible minister or DCLG</w:t>
      </w:r>
      <w:r>
        <w:rPr>
          <w:color w:val="1F1F1F"/>
          <w:spacing w:val="-10"/>
          <w:sz w:val="24"/>
        </w:rPr>
        <w:t xml:space="preserve"> </w:t>
      </w:r>
      <w:r>
        <w:rPr>
          <w:color w:val="1F1F1F"/>
          <w:sz w:val="24"/>
        </w:rPr>
        <w:t>officials;</w:t>
      </w:r>
    </w:p>
    <w:p w14:paraId="6A8F74BB" w14:textId="77777777" w:rsidR="007B48CC" w:rsidRDefault="007B48CC">
      <w:pPr>
        <w:spacing w:line="273" w:lineRule="auto"/>
        <w:rPr>
          <w:sz w:val="24"/>
        </w:rPr>
        <w:sectPr w:rsidR="007B48CC">
          <w:pgSz w:w="11910" w:h="16840"/>
          <w:pgMar w:top="1340" w:right="1220" w:bottom="1240" w:left="840" w:header="0" w:footer="1054" w:gutter="0"/>
          <w:cols w:space="720"/>
        </w:sectPr>
      </w:pPr>
    </w:p>
    <w:p w14:paraId="1C7E14A2" w14:textId="77777777" w:rsidR="007B48CC" w:rsidRDefault="00E90905">
      <w:pPr>
        <w:pStyle w:val="ListParagraph"/>
        <w:numPr>
          <w:ilvl w:val="2"/>
          <w:numId w:val="10"/>
        </w:numPr>
        <w:tabs>
          <w:tab w:val="left" w:pos="1865"/>
          <w:tab w:val="left" w:pos="1866"/>
        </w:tabs>
        <w:spacing w:before="78"/>
        <w:ind w:hanging="359"/>
        <w:rPr>
          <w:sz w:val="24"/>
        </w:rPr>
      </w:pPr>
      <w:r>
        <w:rPr>
          <w:color w:val="1F1F1F"/>
          <w:sz w:val="24"/>
        </w:rPr>
        <w:lastRenderedPageBreak/>
        <w:t>Promoting the efficient and effective use of staff and other</w:t>
      </w:r>
      <w:r>
        <w:rPr>
          <w:color w:val="1F1F1F"/>
          <w:spacing w:val="-14"/>
          <w:sz w:val="24"/>
        </w:rPr>
        <w:t xml:space="preserve"> </w:t>
      </w:r>
      <w:r>
        <w:rPr>
          <w:color w:val="1F1F1F"/>
          <w:sz w:val="24"/>
        </w:rPr>
        <w:t>resources;</w:t>
      </w:r>
    </w:p>
    <w:p w14:paraId="2BEA5781" w14:textId="77777777" w:rsidR="007B48CC" w:rsidRDefault="00E90905">
      <w:pPr>
        <w:pStyle w:val="ListParagraph"/>
        <w:numPr>
          <w:ilvl w:val="2"/>
          <w:numId w:val="10"/>
        </w:numPr>
        <w:tabs>
          <w:tab w:val="left" w:pos="1865"/>
          <w:tab w:val="left" w:pos="1866"/>
        </w:tabs>
        <w:spacing w:before="40"/>
        <w:ind w:hanging="359"/>
        <w:rPr>
          <w:sz w:val="24"/>
        </w:rPr>
      </w:pPr>
      <w:r>
        <w:rPr>
          <w:color w:val="1F1F1F"/>
          <w:sz w:val="24"/>
        </w:rPr>
        <w:t>Delivering high standards of regularity and</w:t>
      </w:r>
      <w:r>
        <w:rPr>
          <w:color w:val="1F1F1F"/>
          <w:spacing w:val="-3"/>
          <w:sz w:val="24"/>
        </w:rPr>
        <w:t xml:space="preserve"> </w:t>
      </w:r>
      <w:r>
        <w:rPr>
          <w:color w:val="1F1F1F"/>
          <w:sz w:val="24"/>
        </w:rPr>
        <w:t>propriety;</w:t>
      </w:r>
    </w:p>
    <w:p w14:paraId="582BC2BC" w14:textId="77777777" w:rsidR="007B48CC" w:rsidRDefault="00E90905">
      <w:pPr>
        <w:pStyle w:val="ListParagraph"/>
        <w:numPr>
          <w:ilvl w:val="2"/>
          <w:numId w:val="10"/>
        </w:numPr>
        <w:tabs>
          <w:tab w:val="left" w:pos="1865"/>
          <w:tab w:val="left" w:pos="1866"/>
        </w:tabs>
        <w:spacing w:before="39" w:line="273" w:lineRule="auto"/>
        <w:ind w:right="726"/>
        <w:rPr>
          <w:sz w:val="24"/>
        </w:rPr>
      </w:pPr>
      <w:r>
        <w:rPr>
          <w:color w:val="1F1F1F"/>
          <w:sz w:val="24"/>
        </w:rPr>
        <w:t>Communicating THO’s views to residents, members and the general public.</w:t>
      </w:r>
    </w:p>
    <w:p w14:paraId="21DA7C18" w14:textId="77777777" w:rsidR="007B48CC" w:rsidRDefault="00E90905">
      <w:pPr>
        <w:pStyle w:val="ListParagraph"/>
        <w:numPr>
          <w:ilvl w:val="1"/>
          <w:numId w:val="10"/>
        </w:numPr>
        <w:tabs>
          <w:tab w:val="left" w:pos="1320"/>
          <w:tab w:val="left" w:pos="1321"/>
        </w:tabs>
        <w:spacing w:before="204"/>
        <w:ind w:hanging="721"/>
        <w:rPr>
          <w:sz w:val="24"/>
        </w:rPr>
      </w:pPr>
      <w:r>
        <w:rPr>
          <w:color w:val="1F1F1F"/>
          <w:sz w:val="24"/>
        </w:rPr>
        <w:t>THO also has an obligation to ensure</w:t>
      </w:r>
      <w:r>
        <w:rPr>
          <w:color w:val="1F1F1F"/>
          <w:spacing w:val="-7"/>
          <w:sz w:val="24"/>
        </w:rPr>
        <w:t xml:space="preserve"> </w:t>
      </w:r>
      <w:r>
        <w:rPr>
          <w:color w:val="1F1F1F"/>
          <w:sz w:val="24"/>
        </w:rPr>
        <w:t>that:</w:t>
      </w:r>
    </w:p>
    <w:p w14:paraId="55D7575F" w14:textId="77777777" w:rsidR="007B48CC" w:rsidRDefault="007B48CC">
      <w:pPr>
        <w:pStyle w:val="BodyText"/>
        <w:spacing w:before="8"/>
        <w:rPr>
          <w:sz w:val="20"/>
        </w:rPr>
      </w:pPr>
    </w:p>
    <w:p w14:paraId="413FA942" w14:textId="77777777" w:rsidR="007B48CC" w:rsidRDefault="00E90905">
      <w:pPr>
        <w:pStyle w:val="ListParagraph"/>
        <w:numPr>
          <w:ilvl w:val="2"/>
          <w:numId w:val="10"/>
        </w:numPr>
        <w:tabs>
          <w:tab w:val="left" w:pos="1877"/>
          <w:tab w:val="left" w:pos="1878"/>
        </w:tabs>
        <w:spacing w:line="273" w:lineRule="auto"/>
        <w:ind w:left="1877" w:right="1322"/>
        <w:rPr>
          <w:sz w:val="24"/>
        </w:rPr>
      </w:pPr>
      <w:r>
        <w:rPr>
          <w:color w:val="1F1F1F"/>
          <w:sz w:val="24"/>
        </w:rPr>
        <w:t>The ARAC has a balance of skills appropriate to advising the Ombudsman in accordance with the Audit and Risk Assurance Committee</w:t>
      </w:r>
      <w:r>
        <w:rPr>
          <w:color w:val="1F1F1F"/>
          <w:spacing w:val="-1"/>
          <w:sz w:val="24"/>
        </w:rPr>
        <w:t xml:space="preserve"> </w:t>
      </w:r>
      <w:r>
        <w:rPr>
          <w:color w:val="1F1F1F"/>
          <w:sz w:val="24"/>
        </w:rPr>
        <w:t>Handbook.</w:t>
      </w:r>
    </w:p>
    <w:p w14:paraId="424D2956" w14:textId="77777777" w:rsidR="007B48CC" w:rsidRDefault="00E90905">
      <w:pPr>
        <w:pStyle w:val="ListParagraph"/>
        <w:numPr>
          <w:ilvl w:val="2"/>
          <w:numId w:val="10"/>
        </w:numPr>
        <w:tabs>
          <w:tab w:val="left" w:pos="1877"/>
          <w:tab w:val="left" w:pos="1878"/>
        </w:tabs>
        <w:spacing w:before="6" w:line="273" w:lineRule="auto"/>
        <w:ind w:left="1877" w:right="663"/>
        <w:rPr>
          <w:sz w:val="24"/>
        </w:rPr>
      </w:pPr>
      <w:r>
        <w:rPr>
          <w:color w:val="1F1F1F"/>
          <w:sz w:val="24"/>
        </w:rPr>
        <w:t>ARAC and Panel members are fully briefed on terms of</w:t>
      </w:r>
      <w:r>
        <w:rPr>
          <w:color w:val="1F1F1F"/>
          <w:spacing w:val="-30"/>
          <w:sz w:val="24"/>
        </w:rPr>
        <w:t xml:space="preserve"> </w:t>
      </w:r>
      <w:r>
        <w:rPr>
          <w:color w:val="1F1F1F"/>
          <w:sz w:val="24"/>
        </w:rPr>
        <w:t>appointment, duties, rights and</w:t>
      </w:r>
      <w:r>
        <w:rPr>
          <w:color w:val="1F1F1F"/>
          <w:spacing w:val="-5"/>
          <w:sz w:val="24"/>
        </w:rPr>
        <w:t xml:space="preserve"> </w:t>
      </w:r>
      <w:r>
        <w:rPr>
          <w:color w:val="1F1F1F"/>
          <w:sz w:val="24"/>
        </w:rPr>
        <w:t>responsibilities.</w:t>
      </w:r>
    </w:p>
    <w:p w14:paraId="25379259" w14:textId="77777777" w:rsidR="007B48CC" w:rsidRDefault="00E90905">
      <w:pPr>
        <w:pStyle w:val="ListParagraph"/>
        <w:numPr>
          <w:ilvl w:val="2"/>
          <w:numId w:val="10"/>
        </w:numPr>
        <w:tabs>
          <w:tab w:val="left" w:pos="1877"/>
          <w:tab w:val="left" w:pos="1878"/>
        </w:tabs>
        <w:spacing w:before="1" w:line="276" w:lineRule="auto"/>
        <w:ind w:left="1877" w:right="325"/>
        <w:rPr>
          <w:sz w:val="24"/>
        </w:rPr>
      </w:pPr>
      <w:r>
        <w:rPr>
          <w:color w:val="1F1F1F"/>
          <w:sz w:val="24"/>
        </w:rPr>
        <w:t>ARAC and Panel members, together with THO Senior Leadership team, receive appropriate training on financial management and reporting requirements and on any differences which may exist between private and public sector</w:t>
      </w:r>
      <w:r>
        <w:rPr>
          <w:color w:val="1F1F1F"/>
          <w:spacing w:val="-6"/>
          <w:sz w:val="24"/>
        </w:rPr>
        <w:t xml:space="preserve"> </w:t>
      </w:r>
      <w:r>
        <w:rPr>
          <w:color w:val="1F1F1F"/>
          <w:sz w:val="24"/>
        </w:rPr>
        <w:t>practice.</w:t>
      </w:r>
    </w:p>
    <w:p w14:paraId="5FF62C75" w14:textId="77777777" w:rsidR="007B48CC" w:rsidRDefault="00E90905">
      <w:pPr>
        <w:pStyle w:val="ListParagraph"/>
        <w:numPr>
          <w:ilvl w:val="2"/>
          <w:numId w:val="10"/>
        </w:numPr>
        <w:tabs>
          <w:tab w:val="left" w:pos="1877"/>
          <w:tab w:val="left" w:pos="1878"/>
        </w:tabs>
        <w:spacing w:line="273" w:lineRule="auto"/>
        <w:ind w:left="1877" w:right="560"/>
        <w:rPr>
          <w:sz w:val="24"/>
        </w:rPr>
      </w:pPr>
      <w:r>
        <w:rPr>
          <w:color w:val="1F1F1F"/>
          <w:sz w:val="24"/>
        </w:rPr>
        <w:t>THO, with assistance from an independent ARAC attendee, assesses the performance of the Chair of the ARAC on an annual</w:t>
      </w:r>
      <w:r>
        <w:rPr>
          <w:color w:val="1F1F1F"/>
          <w:spacing w:val="-15"/>
          <w:sz w:val="24"/>
        </w:rPr>
        <w:t xml:space="preserve"> </w:t>
      </w:r>
      <w:r>
        <w:rPr>
          <w:color w:val="1F1F1F"/>
          <w:sz w:val="24"/>
        </w:rPr>
        <w:t>basis.</w:t>
      </w:r>
    </w:p>
    <w:p w14:paraId="02147354" w14:textId="77777777" w:rsidR="007B48CC" w:rsidRDefault="00E90905">
      <w:pPr>
        <w:pStyle w:val="BodyText"/>
        <w:ind w:left="1877"/>
      </w:pPr>
      <w:r>
        <w:rPr>
          <w:color w:val="1F1F1F"/>
        </w:rPr>
        <w:t>The Chair assesses the performance of other ARAC members.</w:t>
      </w:r>
    </w:p>
    <w:p w14:paraId="6599036D" w14:textId="77777777" w:rsidR="007B48CC" w:rsidRDefault="007B48CC">
      <w:pPr>
        <w:pStyle w:val="BodyText"/>
        <w:spacing w:before="8"/>
        <w:rPr>
          <w:sz w:val="20"/>
        </w:rPr>
      </w:pPr>
    </w:p>
    <w:p w14:paraId="3A25695B" w14:textId="77777777" w:rsidR="007B48CC" w:rsidRDefault="00E90905">
      <w:pPr>
        <w:pStyle w:val="ListParagraph"/>
        <w:numPr>
          <w:ilvl w:val="1"/>
          <w:numId w:val="10"/>
        </w:numPr>
        <w:tabs>
          <w:tab w:val="left" w:pos="1279"/>
          <w:tab w:val="left" w:pos="1280"/>
        </w:tabs>
        <w:spacing w:line="276" w:lineRule="auto"/>
        <w:ind w:left="1279" w:right="410" w:hanging="680"/>
        <w:rPr>
          <w:sz w:val="24"/>
        </w:rPr>
      </w:pPr>
      <w:r>
        <w:rPr>
          <w:color w:val="1F1F1F"/>
          <w:sz w:val="24"/>
        </w:rPr>
        <w:t>THO has personal authority for all matters relating to the conduct of dispute resolution and the investigation, determination and remedy of complaints. He or she acts with independent discretion in this role and is accountable to Parliament in this</w:t>
      </w:r>
      <w:r>
        <w:rPr>
          <w:color w:val="1F1F1F"/>
          <w:spacing w:val="-3"/>
          <w:sz w:val="24"/>
        </w:rPr>
        <w:t xml:space="preserve"> </w:t>
      </w:r>
      <w:r>
        <w:rPr>
          <w:color w:val="1F1F1F"/>
          <w:sz w:val="24"/>
        </w:rPr>
        <w:t>role.</w:t>
      </w:r>
    </w:p>
    <w:p w14:paraId="4847A319" w14:textId="77777777" w:rsidR="007B48CC" w:rsidRDefault="007B48CC">
      <w:pPr>
        <w:spacing w:line="276" w:lineRule="auto"/>
        <w:rPr>
          <w:sz w:val="24"/>
        </w:rPr>
        <w:sectPr w:rsidR="007B48CC">
          <w:pgSz w:w="11910" w:h="16840"/>
          <w:pgMar w:top="1340" w:right="1220" w:bottom="1240" w:left="840" w:header="0" w:footer="1054" w:gutter="0"/>
          <w:cols w:space="720"/>
        </w:sectPr>
      </w:pPr>
    </w:p>
    <w:p w14:paraId="7F48C427" w14:textId="77777777" w:rsidR="007B48CC" w:rsidRDefault="00E90905">
      <w:pPr>
        <w:pStyle w:val="Heading1"/>
        <w:numPr>
          <w:ilvl w:val="0"/>
          <w:numId w:val="13"/>
        </w:numPr>
        <w:tabs>
          <w:tab w:val="left" w:pos="1320"/>
          <w:tab w:val="left" w:pos="1321"/>
        </w:tabs>
        <w:ind w:left="1320" w:hanging="721"/>
        <w:rPr>
          <w:color w:val="1F1F1F"/>
        </w:rPr>
      </w:pPr>
      <w:r>
        <w:rPr>
          <w:color w:val="1F1F1F"/>
        </w:rPr>
        <w:lastRenderedPageBreak/>
        <w:t>THO’s</w:t>
      </w:r>
      <w:r>
        <w:rPr>
          <w:color w:val="1F1F1F"/>
          <w:spacing w:val="-1"/>
        </w:rPr>
        <w:t xml:space="preserve"> </w:t>
      </w:r>
      <w:r>
        <w:rPr>
          <w:color w:val="1F1F1F"/>
        </w:rPr>
        <w:t>Staff</w:t>
      </w:r>
    </w:p>
    <w:p w14:paraId="259A16B6" w14:textId="77777777" w:rsidR="007B48CC" w:rsidRDefault="007B48CC">
      <w:pPr>
        <w:pStyle w:val="BodyText"/>
        <w:spacing w:before="8"/>
        <w:rPr>
          <w:b/>
          <w:sz w:val="32"/>
        </w:rPr>
      </w:pPr>
    </w:p>
    <w:p w14:paraId="2366186A" w14:textId="77777777" w:rsidR="007B48CC" w:rsidRDefault="00E90905">
      <w:pPr>
        <w:pStyle w:val="ListParagraph"/>
        <w:numPr>
          <w:ilvl w:val="1"/>
          <w:numId w:val="13"/>
        </w:numPr>
        <w:tabs>
          <w:tab w:val="left" w:pos="1321"/>
        </w:tabs>
        <w:spacing w:line="276" w:lineRule="auto"/>
        <w:ind w:left="1320" w:right="217" w:hanging="720"/>
        <w:jc w:val="both"/>
        <w:rPr>
          <w:sz w:val="24"/>
        </w:rPr>
      </w:pPr>
      <w:r>
        <w:rPr>
          <w:sz w:val="24"/>
        </w:rPr>
        <w:t>Within the terms of the Scheme, THO will have responsibility for the recruitment, retention and motivation of his or her staff. The broad responsibilities toward THO’s staff are to ensure</w:t>
      </w:r>
      <w:r>
        <w:rPr>
          <w:spacing w:val="-6"/>
          <w:sz w:val="24"/>
        </w:rPr>
        <w:t xml:space="preserve"> </w:t>
      </w:r>
      <w:r>
        <w:rPr>
          <w:sz w:val="24"/>
        </w:rPr>
        <w:t>that</w:t>
      </w:r>
    </w:p>
    <w:p w14:paraId="1EC35B40" w14:textId="77777777" w:rsidR="007B48CC" w:rsidRDefault="00E90905">
      <w:pPr>
        <w:pStyle w:val="ListParagraph"/>
        <w:numPr>
          <w:ilvl w:val="2"/>
          <w:numId w:val="13"/>
        </w:numPr>
        <w:tabs>
          <w:tab w:val="left" w:pos="1849"/>
        </w:tabs>
        <w:spacing w:line="273" w:lineRule="auto"/>
        <w:ind w:left="1848" w:right="215" w:hanging="358"/>
        <w:jc w:val="both"/>
        <w:rPr>
          <w:sz w:val="24"/>
        </w:rPr>
      </w:pPr>
      <w:r>
        <w:rPr>
          <w:sz w:val="24"/>
        </w:rPr>
        <w:t>the rules for recruitment and management of staff create an inclusive culture in which diversity is fully valued; appointment and advancement is based on</w:t>
      </w:r>
      <w:r>
        <w:rPr>
          <w:spacing w:val="-3"/>
          <w:sz w:val="24"/>
        </w:rPr>
        <w:t xml:space="preserve"> </w:t>
      </w:r>
      <w:r>
        <w:rPr>
          <w:sz w:val="24"/>
        </w:rPr>
        <w:t>merit;</w:t>
      </w:r>
    </w:p>
    <w:p w14:paraId="47905754" w14:textId="77777777" w:rsidR="007B48CC" w:rsidRDefault="00E90905">
      <w:pPr>
        <w:pStyle w:val="ListParagraph"/>
        <w:numPr>
          <w:ilvl w:val="0"/>
          <w:numId w:val="9"/>
        </w:numPr>
        <w:tabs>
          <w:tab w:val="left" w:pos="1849"/>
        </w:tabs>
        <w:spacing w:before="2" w:line="276" w:lineRule="auto"/>
        <w:ind w:right="213"/>
        <w:jc w:val="both"/>
        <w:rPr>
          <w:sz w:val="24"/>
        </w:rPr>
      </w:pPr>
      <w:r>
        <w:rPr>
          <w:sz w:val="24"/>
        </w:rPr>
        <w:t>there is no discrimination on grounds of: age, disability, sex, gender assignment, pregnancy, maternity, race (which includes colour, nationality and ethnic or national origin), sexual orientation, religion or belief, or because someone is married or in a civil</w:t>
      </w:r>
      <w:r>
        <w:rPr>
          <w:spacing w:val="-10"/>
          <w:sz w:val="24"/>
        </w:rPr>
        <w:t xml:space="preserve"> </w:t>
      </w:r>
      <w:r>
        <w:rPr>
          <w:sz w:val="24"/>
        </w:rPr>
        <w:t>partnership;</w:t>
      </w:r>
    </w:p>
    <w:p w14:paraId="07730A62" w14:textId="77777777" w:rsidR="007B48CC" w:rsidRDefault="00E90905">
      <w:pPr>
        <w:pStyle w:val="ListParagraph"/>
        <w:numPr>
          <w:ilvl w:val="0"/>
          <w:numId w:val="9"/>
        </w:numPr>
        <w:tabs>
          <w:tab w:val="left" w:pos="1849"/>
        </w:tabs>
        <w:spacing w:line="276" w:lineRule="auto"/>
        <w:ind w:right="219"/>
        <w:jc w:val="both"/>
        <w:rPr>
          <w:sz w:val="24"/>
        </w:rPr>
      </w:pPr>
      <w:r>
        <w:rPr>
          <w:sz w:val="24"/>
        </w:rPr>
        <w:t>the level and structure of THO’s staffing, including grading and staff numbers, are appropriate to its functions and the requirements of economy, efficiency and</w:t>
      </w:r>
      <w:r>
        <w:rPr>
          <w:spacing w:val="-4"/>
          <w:sz w:val="24"/>
        </w:rPr>
        <w:t xml:space="preserve"> </w:t>
      </w:r>
      <w:r>
        <w:rPr>
          <w:sz w:val="24"/>
        </w:rPr>
        <w:t>effectiveness;</w:t>
      </w:r>
    </w:p>
    <w:p w14:paraId="63621569" w14:textId="77777777" w:rsidR="007B48CC" w:rsidRDefault="00E90905">
      <w:pPr>
        <w:pStyle w:val="ListParagraph"/>
        <w:numPr>
          <w:ilvl w:val="0"/>
          <w:numId w:val="9"/>
        </w:numPr>
        <w:tabs>
          <w:tab w:val="left" w:pos="1849"/>
        </w:tabs>
        <w:spacing w:line="273" w:lineRule="auto"/>
        <w:ind w:right="217"/>
        <w:jc w:val="both"/>
        <w:rPr>
          <w:sz w:val="24"/>
        </w:rPr>
      </w:pPr>
      <w:r>
        <w:rPr>
          <w:sz w:val="24"/>
        </w:rPr>
        <w:t>the grading structure is underpinned by appropriate systems for job evaluation;</w:t>
      </w:r>
    </w:p>
    <w:p w14:paraId="44DC45BF" w14:textId="77777777" w:rsidR="007B48CC" w:rsidRDefault="00E90905">
      <w:pPr>
        <w:pStyle w:val="ListParagraph"/>
        <w:numPr>
          <w:ilvl w:val="0"/>
          <w:numId w:val="9"/>
        </w:numPr>
        <w:tabs>
          <w:tab w:val="left" w:pos="1849"/>
        </w:tabs>
        <w:spacing w:line="273" w:lineRule="auto"/>
        <w:ind w:right="217"/>
        <w:jc w:val="both"/>
        <w:rPr>
          <w:sz w:val="24"/>
        </w:rPr>
      </w:pPr>
      <w:r>
        <w:rPr>
          <w:sz w:val="24"/>
        </w:rPr>
        <w:t>the performance of THO’s staff at all levels is satisfactorily appraised and THO’s performance measurement systems are reviewed from time to time;</w:t>
      </w:r>
    </w:p>
    <w:p w14:paraId="516C79BE" w14:textId="77777777" w:rsidR="007B48CC" w:rsidRDefault="00E90905">
      <w:pPr>
        <w:pStyle w:val="ListParagraph"/>
        <w:numPr>
          <w:ilvl w:val="0"/>
          <w:numId w:val="9"/>
        </w:numPr>
        <w:tabs>
          <w:tab w:val="left" w:pos="1849"/>
        </w:tabs>
        <w:spacing w:line="273" w:lineRule="auto"/>
        <w:ind w:right="215"/>
        <w:jc w:val="both"/>
        <w:rPr>
          <w:sz w:val="24"/>
        </w:rPr>
      </w:pPr>
      <w:r>
        <w:rPr>
          <w:sz w:val="24"/>
        </w:rPr>
        <w:t>THO’s staff are encouraged to acquire the appropriate professional, management and other expertise necessary to achieve THO’s objectives;</w:t>
      </w:r>
    </w:p>
    <w:p w14:paraId="49874132" w14:textId="77777777" w:rsidR="007B48CC" w:rsidRDefault="00E90905">
      <w:pPr>
        <w:pStyle w:val="ListParagraph"/>
        <w:numPr>
          <w:ilvl w:val="0"/>
          <w:numId w:val="9"/>
        </w:numPr>
        <w:tabs>
          <w:tab w:val="left" w:pos="1849"/>
        </w:tabs>
        <w:ind w:hanging="426"/>
        <w:jc w:val="both"/>
        <w:rPr>
          <w:sz w:val="24"/>
        </w:rPr>
      </w:pPr>
      <w:r>
        <w:rPr>
          <w:sz w:val="24"/>
        </w:rPr>
        <w:t>proper consultation with staff takes place on key issues affecting</w:t>
      </w:r>
      <w:r>
        <w:rPr>
          <w:spacing w:val="-14"/>
          <w:sz w:val="24"/>
        </w:rPr>
        <w:t xml:space="preserve"> </w:t>
      </w:r>
      <w:r>
        <w:rPr>
          <w:sz w:val="24"/>
        </w:rPr>
        <w:t>them;</w:t>
      </w:r>
    </w:p>
    <w:p w14:paraId="64DCE677" w14:textId="77777777" w:rsidR="007B48CC" w:rsidRDefault="00E90905">
      <w:pPr>
        <w:pStyle w:val="ListParagraph"/>
        <w:numPr>
          <w:ilvl w:val="0"/>
          <w:numId w:val="9"/>
        </w:numPr>
        <w:tabs>
          <w:tab w:val="left" w:pos="1849"/>
        </w:tabs>
        <w:spacing w:before="40"/>
        <w:ind w:hanging="426"/>
        <w:jc w:val="both"/>
        <w:rPr>
          <w:sz w:val="24"/>
        </w:rPr>
      </w:pPr>
      <w:r>
        <w:rPr>
          <w:sz w:val="24"/>
        </w:rPr>
        <w:t>adequate grievance and disciplinary procedures are in</w:t>
      </w:r>
      <w:r>
        <w:rPr>
          <w:spacing w:val="-9"/>
          <w:sz w:val="24"/>
        </w:rPr>
        <w:t xml:space="preserve"> </w:t>
      </w:r>
      <w:r>
        <w:rPr>
          <w:sz w:val="24"/>
        </w:rPr>
        <w:t>place;</w:t>
      </w:r>
    </w:p>
    <w:p w14:paraId="09825221" w14:textId="77777777" w:rsidR="007B48CC" w:rsidRDefault="00E90905">
      <w:pPr>
        <w:pStyle w:val="ListParagraph"/>
        <w:numPr>
          <w:ilvl w:val="0"/>
          <w:numId w:val="9"/>
        </w:numPr>
        <w:tabs>
          <w:tab w:val="left" w:pos="1849"/>
        </w:tabs>
        <w:spacing w:before="39" w:line="273" w:lineRule="auto"/>
        <w:ind w:right="222"/>
        <w:jc w:val="both"/>
        <w:rPr>
          <w:sz w:val="24"/>
        </w:rPr>
      </w:pPr>
      <w:r>
        <w:rPr>
          <w:sz w:val="24"/>
        </w:rPr>
        <w:t>whistle-blowing procedures consistent with the Public Interest Disclosure Act are in</w:t>
      </w:r>
      <w:r>
        <w:rPr>
          <w:spacing w:val="-1"/>
          <w:sz w:val="24"/>
        </w:rPr>
        <w:t xml:space="preserve"> </w:t>
      </w:r>
      <w:r>
        <w:rPr>
          <w:sz w:val="24"/>
        </w:rPr>
        <w:t>place.</w:t>
      </w:r>
    </w:p>
    <w:p w14:paraId="679568DE" w14:textId="77777777" w:rsidR="007B48CC" w:rsidRDefault="007B48CC">
      <w:pPr>
        <w:pStyle w:val="BodyText"/>
        <w:spacing w:before="9"/>
        <w:rPr>
          <w:sz w:val="27"/>
        </w:rPr>
      </w:pPr>
    </w:p>
    <w:p w14:paraId="69E50548" w14:textId="77777777" w:rsidR="007B48CC" w:rsidRDefault="00E90905">
      <w:pPr>
        <w:pStyle w:val="ListParagraph"/>
        <w:numPr>
          <w:ilvl w:val="1"/>
          <w:numId w:val="13"/>
        </w:numPr>
        <w:tabs>
          <w:tab w:val="left" w:pos="1309"/>
        </w:tabs>
        <w:spacing w:line="276" w:lineRule="auto"/>
        <w:ind w:left="1308" w:right="220" w:hanging="708"/>
        <w:jc w:val="both"/>
        <w:rPr>
          <w:sz w:val="24"/>
        </w:rPr>
      </w:pPr>
      <w:r>
        <w:rPr>
          <w:sz w:val="24"/>
        </w:rPr>
        <w:t>Subject to his or her delegated authorities, THO shall ensure that the creation of any additional posts does not incur forward commitments that will exceed the organisation’s ability to pay for</w:t>
      </w:r>
      <w:r>
        <w:rPr>
          <w:spacing w:val="-13"/>
          <w:sz w:val="24"/>
        </w:rPr>
        <w:t xml:space="preserve"> </w:t>
      </w:r>
      <w:r>
        <w:rPr>
          <w:sz w:val="24"/>
        </w:rPr>
        <w:t>them.</w:t>
      </w:r>
    </w:p>
    <w:p w14:paraId="120885EF" w14:textId="77777777" w:rsidR="007B48CC" w:rsidRDefault="007B48CC">
      <w:pPr>
        <w:pStyle w:val="BodyText"/>
        <w:spacing w:before="6"/>
        <w:rPr>
          <w:sz w:val="27"/>
        </w:rPr>
      </w:pPr>
    </w:p>
    <w:p w14:paraId="6C06CF14" w14:textId="77777777" w:rsidR="007B48CC" w:rsidRDefault="00E90905">
      <w:pPr>
        <w:ind w:left="600"/>
        <w:rPr>
          <w:b/>
          <w:sz w:val="28"/>
        </w:rPr>
      </w:pPr>
      <w:r>
        <w:rPr>
          <w:b/>
          <w:sz w:val="28"/>
        </w:rPr>
        <w:t>Pay and conditions of service</w:t>
      </w:r>
    </w:p>
    <w:p w14:paraId="5C432761" w14:textId="77777777" w:rsidR="007B48CC" w:rsidRDefault="007B48CC">
      <w:pPr>
        <w:pStyle w:val="BodyText"/>
        <w:spacing w:before="7"/>
        <w:rPr>
          <w:b/>
          <w:sz w:val="36"/>
        </w:rPr>
      </w:pPr>
    </w:p>
    <w:p w14:paraId="174A8A7C" w14:textId="77777777" w:rsidR="007B48CC" w:rsidRDefault="00E90905">
      <w:pPr>
        <w:pStyle w:val="ListParagraph"/>
        <w:numPr>
          <w:ilvl w:val="1"/>
          <w:numId w:val="13"/>
        </w:numPr>
        <w:tabs>
          <w:tab w:val="left" w:pos="1309"/>
        </w:tabs>
        <w:spacing w:line="276" w:lineRule="auto"/>
        <w:ind w:left="1308" w:right="217" w:hanging="708"/>
        <w:jc w:val="both"/>
        <w:rPr>
          <w:sz w:val="24"/>
        </w:rPr>
      </w:pPr>
      <w:r>
        <w:rPr>
          <w:sz w:val="24"/>
        </w:rPr>
        <w:t>THO is responsible for ensuring staff resources are kept under review and best directed to meeting THO’s objectives. The staff contractors, consultants or agents employed by the Ombudsman will be appointed and dismissed by the</w:t>
      </w:r>
      <w:r>
        <w:rPr>
          <w:spacing w:val="-1"/>
          <w:sz w:val="24"/>
        </w:rPr>
        <w:t xml:space="preserve"> </w:t>
      </w:r>
      <w:r>
        <w:rPr>
          <w:sz w:val="24"/>
        </w:rPr>
        <w:t>Ombudsman.</w:t>
      </w:r>
    </w:p>
    <w:p w14:paraId="21AF6D26" w14:textId="77777777" w:rsidR="007B48CC" w:rsidRDefault="007B48CC">
      <w:pPr>
        <w:pStyle w:val="BodyText"/>
        <w:spacing w:before="7"/>
        <w:rPr>
          <w:sz w:val="27"/>
        </w:rPr>
      </w:pPr>
    </w:p>
    <w:p w14:paraId="61FB03D3" w14:textId="77777777" w:rsidR="007B48CC" w:rsidRDefault="00E90905">
      <w:pPr>
        <w:pStyle w:val="ListParagraph"/>
        <w:numPr>
          <w:ilvl w:val="1"/>
          <w:numId w:val="13"/>
        </w:numPr>
        <w:tabs>
          <w:tab w:val="left" w:pos="1309"/>
        </w:tabs>
        <w:spacing w:line="276" w:lineRule="auto"/>
        <w:ind w:left="1308" w:right="219" w:hanging="708"/>
        <w:jc w:val="both"/>
        <w:rPr>
          <w:sz w:val="24"/>
        </w:rPr>
      </w:pPr>
      <w:r>
        <w:rPr>
          <w:sz w:val="24"/>
        </w:rPr>
        <w:t>Within the approved budget and the established terms and conditions of employment, THO will employ staff in accordance with the requirements of the Scheme, taking into account the annual Treasury guidance on public</w:t>
      </w:r>
      <w:r>
        <w:rPr>
          <w:spacing w:val="18"/>
          <w:sz w:val="24"/>
        </w:rPr>
        <w:t xml:space="preserve"> </w:t>
      </w:r>
      <w:r>
        <w:rPr>
          <w:sz w:val="24"/>
        </w:rPr>
        <w:t>sector</w:t>
      </w:r>
    </w:p>
    <w:p w14:paraId="75CE9841"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11B3F751" w14:textId="77777777" w:rsidR="007B48CC" w:rsidRDefault="00E90905">
      <w:pPr>
        <w:pStyle w:val="BodyText"/>
        <w:spacing w:before="80" w:line="276" w:lineRule="auto"/>
        <w:ind w:left="1308" w:right="216"/>
        <w:jc w:val="both"/>
      </w:pPr>
      <w:r>
        <w:lastRenderedPageBreak/>
        <w:t xml:space="preserve">pay. </w:t>
      </w:r>
      <w:r>
        <w:rPr>
          <w:color w:val="232323"/>
        </w:rPr>
        <w:t>DCLG approval (and HMT approval where appropriate) will be required for major structural changes to pay and reward and grading systems. DCLG will in turn consult HM Treasury.</w:t>
      </w:r>
    </w:p>
    <w:p w14:paraId="4023A216" w14:textId="77777777" w:rsidR="007B48CC" w:rsidRDefault="007B48CC">
      <w:pPr>
        <w:pStyle w:val="BodyText"/>
        <w:spacing w:before="7"/>
        <w:rPr>
          <w:sz w:val="27"/>
        </w:rPr>
      </w:pPr>
    </w:p>
    <w:p w14:paraId="320E00A8" w14:textId="77777777" w:rsidR="007B48CC" w:rsidRDefault="00E90905">
      <w:pPr>
        <w:pStyle w:val="ListParagraph"/>
        <w:numPr>
          <w:ilvl w:val="1"/>
          <w:numId w:val="13"/>
        </w:numPr>
        <w:tabs>
          <w:tab w:val="left" w:pos="1321"/>
        </w:tabs>
        <w:spacing w:line="276" w:lineRule="auto"/>
        <w:ind w:left="1308" w:right="226" w:hanging="708"/>
        <w:jc w:val="both"/>
        <w:rPr>
          <w:color w:val="232323"/>
          <w:sz w:val="24"/>
        </w:rPr>
      </w:pPr>
      <w:r>
        <w:rPr>
          <w:sz w:val="24"/>
        </w:rPr>
        <w:t>Staff terms and conditions should be set out in an Employee Handbook, which should be provided to DCLG together with subsequent</w:t>
      </w:r>
      <w:r>
        <w:rPr>
          <w:spacing w:val="-13"/>
          <w:sz w:val="24"/>
        </w:rPr>
        <w:t xml:space="preserve"> </w:t>
      </w:r>
      <w:r>
        <w:rPr>
          <w:sz w:val="24"/>
        </w:rPr>
        <w:t>amendments.</w:t>
      </w:r>
    </w:p>
    <w:p w14:paraId="5E3BFEA0" w14:textId="77777777" w:rsidR="007B48CC" w:rsidRDefault="007B48CC">
      <w:pPr>
        <w:pStyle w:val="BodyText"/>
        <w:spacing w:before="7"/>
        <w:rPr>
          <w:sz w:val="27"/>
        </w:rPr>
      </w:pPr>
    </w:p>
    <w:p w14:paraId="3EA438E9" w14:textId="77777777" w:rsidR="007B48CC" w:rsidRDefault="00E90905">
      <w:pPr>
        <w:pStyle w:val="ListParagraph"/>
        <w:numPr>
          <w:ilvl w:val="1"/>
          <w:numId w:val="13"/>
        </w:numPr>
        <w:tabs>
          <w:tab w:val="left" w:pos="1321"/>
        </w:tabs>
        <w:spacing w:line="276" w:lineRule="auto"/>
        <w:ind w:left="1320" w:right="213" w:hanging="720"/>
        <w:jc w:val="both"/>
        <w:rPr>
          <w:color w:val="232323"/>
          <w:sz w:val="24"/>
        </w:rPr>
      </w:pPr>
      <w:r>
        <w:rPr>
          <w:sz w:val="24"/>
        </w:rPr>
        <w:t>THO shall comply with all its legal obligations to staff and agency/contract workers (including its contractual obligations) and, for e.g. with the EU Directive on contract workers as implemented by the Fixed-Term Employees (Prevention of Less Favourable Treatment) Regulations 2002, as amended by the Fixed-Term Employees (Prevention of Less Favourable Treatment) Regulations</w:t>
      </w:r>
      <w:r>
        <w:rPr>
          <w:spacing w:val="-1"/>
          <w:sz w:val="24"/>
        </w:rPr>
        <w:t xml:space="preserve"> </w:t>
      </w:r>
      <w:r>
        <w:rPr>
          <w:sz w:val="24"/>
        </w:rPr>
        <w:t>2008.</w:t>
      </w:r>
    </w:p>
    <w:p w14:paraId="3D2814FE" w14:textId="77777777" w:rsidR="007B48CC" w:rsidRDefault="007B48CC">
      <w:pPr>
        <w:pStyle w:val="BodyText"/>
        <w:spacing w:before="6"/>
        <w:rPr>
          <w:sz w:val="27"/>
        </w:rPr>
      </w:pPr>
    </w:p>
    <w:p w14:paraId="45BA1FA7" w14:textId="77777777" w:rsidR="007B48CC" w:rsidRDefault="00E90905">
      <w:pPr>
        <w:pStyle w:val="ListParagraph"/>
        <w:numPr>
          <w:ilvl w:val="1"/>
          <w:numId w:val="13"/>
        </w:numPr>
        <w:tabs>
          <w:tab w:val="left" w:pos="1321"/>
        </w:tabs>
        <w:spacing w:line="276" w:lineRule="auto"/>
        <w:ind w:left="1320" w:right="219" w:hanging="720"/>
        <w:jc w:val="both"/>
        <w:rPr>
          <w:color w:val="232323"/>
          <w:sz w:val="24"/>
        </w:rPr>
      </w:pPr>
      <w:r>
        <w:rPr>
          <w:sz w:val="24"/>
        </w:rPr>
        <w:t>THO staff shall be eligible for a pension provided by the Local Government Pension Scheme (operated in practice by the City of Westminster Pension Fund). Staff may opt out of the occupational pension scheme provided by THO. Any proposal by THO to move from the existing pension arrangements requires the prior approval of DCLG. Employer’s contributions to any personal pension arrangements, including stakeholder pensions, shall normally be limited to the national insurance</w:t>
      </w:r>
      <w:r>
        <w:rPr>
          <w:spacing w:val="-3"/>
          <w:sz w:val="24"/>
        </w:rPr>
        <w:t xml:space="preserve"> </w:t>
      </w:r>
      <w:r>
        <w:rPr>
          <w:sz w:val="24"/>
        </w:rPr>
        <w:t>rebate.</w:t>
      </w:r>
    </w:p>
    <w:p w14:paraId="105D192C" w14:textId="77777777" w:rsidR="007B48CC" w:rsidRDefault="007B48CC">
      <w:pPr>
        <w:pStyle w:val="BodyText"/>
        <w:spacing w:before="5"/>
        <w:rPr>
          <w:sz w:val="27"/>
        </w:rPr>
      </w:pPr>
    </w:p>
    <w:p w14:paraId="5E9B55BE" w14:textId="77777777" w:rsidR="007B48CC" w:rsidRDefault="00E90905">
      <w:pPr>
        <w:pStyle w:val="ListParagraph"/>
        <w:numPr>
          <w:ilvl w:val="1"/>
          <w:numId w:val="13"/>
        </w:numPr>
        <w:tabs>
          <w:tab w:val="left" w:pos="1321"/>
        </w:tabs>
        <w:spacing w:line="276" w:lineRule="auto"/>
        <w:ind w:left="1320" w:right="215" w:hanging="720"/>
        <w:jc w:val="both"/>
        <w:rPr>
          <w:color w:val="232323"/>
          <w:sz w:val="24"/>
        </w:rPr>
      </w:pPr>
      <w:r>
        <w:rPr>
          <w:sz w:val="24"/>
        </w:rPr>
        <w:t xml:space="preserve">Proposals on severance payments must comply with Chapter 4 of </w:t>
      </w:r>
      <w:r>
        <w:rPr>
          <w:i/>
          <w:sz w:val="24"/>
        </w:rPr>
        <w:t xml:space="preserve">Managing Public Money </w:t>
      </w:r>
      <w:r>
        <w:rPr>
          <w:sz w:val="24"/>
        </w:rPr>
        <w:t>and take into account any relevant DCLG and HMT</w:t>
      </w:r>
      <w:r>
        <w:rPr>
          <w:spacing w:val="-15"/>
          <w:sz w:val="24"/>
        </w:rPr>
        <w:t xml:space="preserve"> </w:t>
      </w:r>
      <w:r>
        <w:rPr>
          <w:sz w:val="24"/>
        </w:rPr>
        <w:t>guidance.</w:t>
      </w:r>
    </w:p>
    <w:p w14:paraId="08355309"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00BF4129" w14:textId="77777777" w:rsidR="007B48CC" w:rsidRDefault="00E90905">
      <w:pPr>
        <w:pStyle w:val="Heading1"/>
        <w:numPr>
          <w:ilvl w:val="0"/>
          <w:numId w:val="13"/>
        </w:numPr>
        <w:tabs>
          <w:tab w:val="left" w:pos="1320"/>
          <w:tab w:val="left" w:pos="1321"/>
        </w:tabs>
        <w:ind w:left="1320" w:hanging="721"/>
        <w:rPr>
          <w:color w:val="1F1F1F"/>
        </w:rPr>
      </w:pPr>
      <w:r>
        <w:rPr>
          <w:color w:val="1F1F1F"/>
        </w:rPr>
        <w:lastRenderedPageBreak/>
        <w:t>Annual Report and</w:t>
      </w:r>
      <w:r>
        <w:rPr>
          <w:color w:val="1F1F1F"/>
          <w:spacing w:val="2"/>
        </w:rPr>
        <w:t xml:space="preserve"> </w:t>
      </w:r>
      <w:r>
        <w:rPr>
          <w:color w:val="1F1F1F"/>
        </w:rPr>
        <w:t>Accounts</w:t>
      </w:r>
    </w:p>
    <w:p w14:paraId="443380E9" w14:textId="77777777" w:rsidR="007B48CC" w:rsidRDefault="00E90905">
      <w:pPr>
        <w:pStyle w:val="ListParagraph"/>
        <w:numPr>
          <w:ilvl w:val="1"/>
          <w:numId w:val="13"/>
        </w:numPr>
        <w:tabs>
          <w:tab w:val="left" w:pos="1321"/>
        </w:tabs>
        <w:spacing w:before="259" w:line="276" w:lineRule="auto"/>
        <w:ind w:left="1320" w:right="220" w:hanging="720"/>
        <w:jc w:val="both"/>
        <w:rPr>
          <w:sz w:val="24"/>
        </w:rPr>
      </w:pPr>
      <w:r>
        <w:rPr>
          <w:sz w:val="24"/>
        </w:rPr>
        <w:t>After the end of each financial year, THO shall publish an annual report and financial</w:t>
      </w:r>
      <w:r>
        <w:rPr>
          <w:spacing w:val="-1"/>
          <w:sz w:val="24"/>
        </w:rPr>
        <w:t xml:space="preserve"> </w:t>
      </w:r>
      <w:r>
        <w:rPr>
          <w:sz w:val="24"/>
        </w:rPr>
        <w:t>statements.</w:t>
      </w:r>
    </w:p>
    <w:p w14:paraId="06E53B46" w14:textId="77777777" w:rsidR="007B48CC" w:rsidRDefault="00E90905">
      <w:pPr>
        <w:pStyle w:val="ListParagraph"/>
        <w:numPr>
          <w:ilvl w:val="1"/>
          <w:numId w:val="13"/>
        </w:numPr>
        <w:tabs>
          <w:tab w:val="left" w:pos="1321"/>
        </w:tabs>
        <w:spacing w:before="198" w:line="276" w:lineRule="auto"/>
        <w:ind w:left="1320" w:right="217" w:hanging="720"/>
        <w:jc w:val="both"/>
        <w:rPr>
          <w:sz w:val="24"/>
        </w:rPr>
      </w:pPr>
      <w:r>
        <w:rPr>
          <w:sz w:val="24"/>
        </w:rPr>
        <w:t>The annual report and financial statements should be prepared in accordance with the specific Accounts Direction issued by DCLG or HMT and with HMT’s Financial Reporting Manual (“</w:t>
      </w:r>
      <w:proofErr w:type="spellStart"/>
      <w:r>
        <w:rPr>
          <w:sz w:val="24"/>
        </w:rPr>
        <w:t>FReM</w:t>
      </w:r>
      <w:proofErr w:type="spellEnd"/>
      <w:r>
        <w:rPr>
          <w:sz w:val="24"/>
        </w:rPr>
        <w:t>”). They shall be signed by the</w:t>
      </w:r>
      <w:r>
        <w:rPr>
          <w:spacing w:val="-18"/>
          <w:sz w:val="24"/>
        </w:rPr>
        <w:t xml:space="preserve"> </w:t>
      </w:r>
      <w:r>
        <w:rPr>
          <w:sz w:val="24"/>
        </w:rPr>
        <w:t>AO.</w:t>
      </w:r>
    </w:p>
    <w:p w14:paraId="231F9618" w14:textId="77777777" w:rsidR="007B48CC" w:rsidRDefault="007B48CC">
      <w:pPr>
        <w:pStyle w:val="BodyText"/>
        <w:spacing w:before="7"/>
        <w:rPr>
          <w:sz w:val="27"/>
        </w:rPr>
      </w:pPr>
    </w:p>
    <w:p w14:paraId="0DCDC9E6" w14:textId="77777777" w:rsidR="007B48CC" w:rsidRDefault="00E90905">
      <w:pPr>
        <w:pStyle w:val="ListParagraph"/>
        <w:numPr>
          <w:ilvl w:val="1"/>
          <w:numId w:val="13"/>
        </w:numPr>
        <w:tabs>
          <w:tab w:val="left" w:pos="1321"/>
        </w:tabs>
        <w:spacing w:line="278" w:lineRule="auto"/>
        <w:ind w:left="1320" w:right="220" w:hanging="720"/>
        <w:jc w:val="both"/>
        <w:rPr>
          <w:sz w:val="24"/>
        </w:rPr>
      </w:pPr>
      <w:r>
        <w:rPr>
          <w:sz w:val="24"/>
        </w:rPr>
        <w:t>The annual report and financial statements shall be laid in Parliament by the Secretary of State and made available on THO’s</w:t>
      </w:r>
      <w:r>
        <w:rPr>
          <w:spacing w:val="-11"/>
          <w:sz w:val="24"/>
        </w:rPr>
        <w:t xml:space="preserve"> </w:t>
      </w:r>
      <w:r>
        <w:rPr>
          <w:sz w:val="24"/>
        </w:rPr>
        <w:t>website.</w:t>
      </w:r>
    </w:p>
    <w:p w14:paraId="2AC7325B" w14:textId="77777777" w:rsidR="007B48CC" w:rsidRDefault="007B48CC">
      <w:pPr>
        <w:pStyle w:val="BodyText"/>
        <w:rPr>
          <w:sz w:val="26"/>
        </w:rPr>
      </w:pPr>
    </w:p>
    <w:p w14:paraId="36E39092" w14:textId="77777777" w:rsidR="007B48CC" w:rsidRDefault="00E90905">
      <w:pPr>
        <w:pStyle w:val="ListParagraph"/>
        <w:numPr>
          <w:ilvl w:val="1"/>
          <w:numId w:val="13"/>
        </w:numPr>
        <w:tabs>
          <w:tab w:val="left" w:pos="1321"/>
        </w:tabs>
        <w:spacing w:before="213" w:line="276" w:lineRule="auto"/>
        <w:ind w:left="1320" w:right="216" w:hanging="720"/>
        <w:jc w:val="both"/>
        <w:rPr>
          <w:color w:val="1F1F1F"/>
          <w:sz w:val="24"/>
        </w:rPr>
      </w:pPr>
      <w:r>
        <w:rPr>
          <w:color w:val="1F1F1F"/>
          <w:sz w:val="24"/>
        </w:rPr>
        <w:t>THO may from time to time publish other reports arising from his or her work or research including such summaries of THO’s determinations and any conclusions which he or she wishes to bring to a wider</w:t>
      </w:r>
      <w:r>
        <w:rPr>
          <w:color w:val="1F1F1F"/>
          <w:spacing w:val="-11"/>
          <w:sz w:val="24"/>
        </w:rPr>
        <w:t xml:space="preserve"> </w:t>
      </w:r>
      <w:r>
        <w:rPr>
          <w:color w:val="1F1F1F"/>
          <w:sz w:val="24"/>
        </w:rPr>
        <w:t>audience.</w:t>
      </w:r>
    </w:p>
    <w:p w14:paraId="532DFDC4"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266D220B" w14:textId="77777777" w:rsidR="007B48CC" w:rsidRDefault="00E90905">
      <w:pPr>
        <w:pStyle w:val="Heading1"/>
        <w:numPr>
          <w:ilvl w:val="0"/>
          <w:numId w:val="13"/>
        </w:numPr>
        <w:tabs>
          <w:tab w:val="left" w:pos="1320"/>
          <w:tab w:val="left" w:pos="1321"/>
        </w:tabs>
        <w:spacing w:before="146" w:line="405" w:lineRule="auto"/>
        <w:ind w:left="600" w:right="7185" w:firstLine="0"/>
      </w:pPr>
      <w:r>
        <w:lastRenderedPageBreak/>
        <w:t>Audit Internal</w:t>
      </w:r>
      <w:r>
        <w:rPr>
          <w:spacing w:val="4"/>
        </w:rPr>
        <w:t xml:space="preserve"> </w:t>
      </w:r>
      <w:r>
        <w:rPr>
          <w:spacing w:val="-5"/>
        </w:rPr>
        <w:t>Audit</w:t>
      </w:r>
    </w:p>
    <w:p w14:paraId="43BFD1AB" w14:textId="77777777" w:rsidR="007B48CC" w:rsidRDefault="00E90905">
      <w:pPr>
        <w:pStyle w:val="ListParagraph"/>
        <w:numPr>
          <w:ilvl w:val="1"/>
          <w:numId w:val="13"/>
        </w:numPr>
        <w:tabs>
          <w:tab w:val="left" w:pos="1269"/>
          <w:tab w:val="left" w:pos="1270"/>
        </w:tabs>
        <w:spacing w:before="5"/>
        <w:ind w:left="1270" w:hanging="670"/>
        <w:rPr>
          <w:sz w:val="24"/>
        </w:rPr>
      </w:pPr>
      <w:r>
        <w:rPr>
          <w:sz w:val="24"/>
        </w:rPr>
        <w:t>Arrangements should be made for the internal audit of</w:t>
      </w:r>
      <w:r>
        <w:rPr>
          <w:spacing w:val="-17"/>
          <w:sz w:val="24"/>
        </w:rPr>
        <w:t xml:space="preserve"> </w:t>
      </w:r>
      <w:r>
        <w:rPr>
          <w:sz w:val="24"/>
        </w:rPr>
        <w:t>THO.</w:t>
      </w:r>
    </w:p>
    <w:p w14:paraId="30DB6683" w14:textId="77777777" w:rsidR="007B48CC" w:rsidRDefault="007B48CC">
      <w:pPr>
        <w:pStyle w:val="BodyText"/>
        <w:spacing w:before="1"/>
        <w:rPr>
          <w:sz w:val="21"/>
        </w:rPr>
      </w:pPr>
    </w:p>
    <w:p w14:paraId="6BF87DD0" w14:textId="77777777" w:rsidR="007B48CC" w:rsidRDefault="00E90905">
      <w:pPr>
        <w:pStyle w:val="ListParagraph"/>
        <w:numPr>
          <w:ilvl w:val="1"/>
          <w:numId w:val="13"/>
        </w:numPr>
        <w:tabs>
          <w:tab w:val="left" w:pos="1320"/>
          <w:tab w:val="left" w:pos="1321"/>
        </w:tabs>
        <w:ind w:left="1320" w:hanging="721"/>
        <w:rPr>
          <w:sz w:val="24"/>
        </w:rPr>
      </w:pPr>
      <w:r>
        <w:rPr>
          <w:sz w:val="24"/>
        </w:rPr>
        <w:t>THO</w:t>
      </w:r>
      <w:r>
        <w:rPr>
          <w:spacing w:val="-1"/>
          <w:sz w:val="24"/>
        </w:rPr>
        <w:t xml:space="preserve"> </w:t>
      </w:r>
      <w:r>
        <w:rPr>
          <w:sz w:val="24"/>
        </w:rPr>
        <w:t>shall:</w:t>
      </w:r>
    </w:p>
    <w:p w14:paraId="36FF86AE" w14:textId="77777777" w:rsidR="007B48CC" w:rsidRDefault="007B48CC">
      <w:pPr>
        <w:pStyle w:val="BodyText"/>
        <w:spacing w:before="8"/>
        <w:rPr>
          <w:sz w:val="20"/>
        </w:rPr>
      </w:pPr>
    </w:p>
    <w:p w14:paraId="03DE8D44" w14:textId="77777777" w:rsidR="007B48CC" w:rsidRDefault="00E90905">
      <w:pPr>
        <w:pStyle w:val="ListParagraph"/>
        <w:numPr>
          <w:ilvl w:val="2"/>
          <w:numId w:val="13"/>
        </w:numPr>
        <w:tabs>
          <w:tab w:val="left" w:pos="1321"/>
        </w:tabs>
        <w:spacing w:line="273" w:lineRule="auto"/>
        <w:ind w:left="1320" w:right="217" w:hanging="360"/>
        <w:jc w:val="both"/>
        <w:rPr>
          <w:sz w:val="24"/>
        </w:rPr>
      </w:pPr>
      <w:r>
        <w:rPr>
          <w:sz w:val="24"/>
        </w:rPr>
        <w:t xml:space="preserve">with involvement of the Chair of the ARAC, establish and maintain arrangements for internal audit in accordance with the </w:t>
      </w:r>
      <w:r>
        <w:rPr>
          <w:i/>
          <w:sz w:val="24"/>
        </w:rPr>
        <w:t>Treasury’s Public Sector Internal Audit Standards</w:t>
      </w:r>
      <w:r>
        <w:rPr>
          <w:i/>
          <w:spacing w:val="2"/>
          <w:sz w:val="24"/>
        </w:rPr>
        <w:t xml:space="preserve"> </w:t>
      </w:r>
      <w:r>
        <w:rPr>
          <w:sz w:val="24"/>
        </w:rPr>
        <w:t>(PSIAS);</w:t>
      </w:r>
    </w:p>
    <w:p w14:paraId="0BDE2B32" w14:textId="77777777" w:rsidR="007B48CC" w:rsidRDefault="00E90905">
      <w:pPr>
        <w:pStyle w:val="ListParagraph"/>
        <w:numPr>
          <w:ilvl w:val="2"/>
          <w:numId w:val="13"/>
        </w:numPr>
        <w:tabs>
          <w:tab w:val="left" w:pos="1321"/>
        </w:tabs>
        <w:spacing w:before="6" w:line="273" w:lineRule="auto"/>
        <w:ind w:left="1320" w:right="214" w:hanging="360"/>
        <w:jc w:val="both"/>
        <w:rPr>
          <w:sz w:val="24"/>
        </w:rPr>
      </w:pPr>
      <w:r>
        <w:rPr>
          <w:sz w:val="24"/>
        </w:rPr>
        <w:t>ensure DCLG is satisfied with the competence and qualifications of the Head of Internal Audit and the requirements for approving appointments in accordance with</w:t>
      </w:r>
      <w:r>
        <w:rPr>
          <w:spacing w:val="-1"/>
          <w:sz w:val="24"/>
        </w:rPr>
        <w:t xml:space="preserve"> </w:t>
      </w:r>
      <w:r>
        <w:rPr>
          <w:sz w:val="24"/>
        </w:rPr>
        <w:t>PSIAS;</w:t>
      </w:r>
    </w:p>
    <w:p w14:paraId="652BC732" w14:textId="77777777" w:rsidR="007B48CC" w:rsidRDefault="00E90905">
      <w:pPr>
        <w:pStyle w:val="ListParagraph"/>
        <w:numPr>
          <w:ilvl w:val="2"/>
          <w:numId w:val="13"/>
        </w:numPr>
        <w:tabs>
          <w:tab w:val="left" w:pos="1321"/>
        </w:tabs>
        <w:spacing w:before="3" w:line="273" w:lineRule="auto"/>
        <w:ind w:left="1320" w:right="221" w:hanging="360"/>
        <w:jc w:val="both"/>
        <w:rPr>
          <w:sz w:val="24"/>
        </w:rPr>
      </w:pPr>
      <w:r>
        <w:rPr>
          <w:sz w:val="24"/>
        </w:rPr>
        <w:t>forward the audit strategy, periodic audit plans and annual audit report, including THO’s Head of Internal Audit’s opinion on risk management, control and governance as soon as possible to DCLG;</w:t>
      </w:r>
      <w:r>
        <w:rPr>
          <w:spacing w:val="-10"/>
          <w:sz w:val="24"/>
        </w:rPr>
        <w:t xml:space="preserve"> </w:t>
      </w:r>
      <w:r>
        <w:rPr>
          <w:sz w:val="24"/>
        </w:rPr>
        <w:t>and</w:t>
      </w:r>
    </w:p>
    <w:p w14:paraId="5B85C58B" w14:textId="77777777" w:rsidR="007B48CC" w:rsidRDefault="00E90905">
      <w:pPr>
        <w:pStyle w:val="ListParagraph"/>
        <w:numPr>
          <w:ilvl w:val="2"/>
          <w:numId w:val="13"/>
        </w:numPr>
        <w:tabs>
          <w:tab w:val="left" w:pos="1321"/>
        </w:tabs>
        <w:spacing w:before="3" w:line="276" w:lineRule="auto"/>
        <w:ind w:left="1320" w:right="219" w:hanging="360"/>
        <w:jc w:val="both"/>
        <w:rPr>
          <w:sz w:val="24"/>
        </w:rPr>
      </w:pPr>
      <w:r>
        <w:rPr>
          <w:sz w:val="24"/>
        </w:rPr>
        <w:t>keep records of, and prepare and forward to DCLG an annual report on fraud and theft suffered by THO and notify DCLG of any unusual or major incidents as soon as</w:t>
      </w:r>
      <w:r>
        <w:rPr>
          <w:spacing w:val="-4"/>
          <w:sz w:val="24"/>
        </w:rPr>
        <w:t xml:space="preserve"> </w:t>
      </w:r>
      <w:r>
        <w:rPr>
          <w:sz w:val="24"/>
        </w:rPr>
        <w:t>possible.</w:t>
      </w:r>
    </w:p>
    <w:p w14:paraId="35F8536B" w14:textId="77777777" w:rsidR="007B48CC" w:rsidRDefault="00E90905">
      <w:pPr>
        <w:pStyle w:val="ListParagraph"/>
        <w:numPr>
          <w:ilvl w:val="1"/>
          <w:numId w:val="13"/>
        </w:numPr>
        <w:tabs>
          <w:tab w:val="left" w:pos="1321"/>
        </w:tabs>
        <w:spacing w:before="198" w:line="276" w:lineRule="auto"/>
        <w:ind w:left="1320" w:right="215" w:hanging="720"/>
        <w:jc w:val="both"/>
        <w:rPr>
          <w:sz w:val="24"/>
        </w:rPr>
      </w:pPr>
      <w:r>
        <w:rPr>
          <w:sz w:val="24"/>
        </w:rPr>
        <w:t>The internal audit service has a right of access to all documents, other than confidential case files held on THO’s casework management system, for any purpose related to audit, as limited by data protection and information management legislation and governance in</w:t>
      </w:r>
      <w:r>
        <w:rPr>
          <w:spacing w:val="-6"/>
          <w:sz w:val="24"/>
        </w:rPr>
        <w:t xml:space="preserve"> </w:t>
      </w:r>
      <w:r>
        <w:rPr>
          <w:sz w:val="24"/>
        </w:rPr>
        <w:t>force.</w:t>
      </w:r>
    </w:p>
    <w:p w14:paraId="12A4F542" w14:textId="77777777" w:rsidR="007B48CC" w:rsidRDefault="007B48CC">
      <w:pPr>
        <w:pStyle w:val="BodyText"/>
        <w:spacing w:before="3"/>
        <w:rPr>
          <w:sz w:val="27"/>
        </w:rPr>
      </w:pPr>
    </w:p>
    <w:p w14:paraId="5D61A018" w14:textId="77777777" w:rsidR="007B48CC" w:rsidRDefault="00E90905">
      <w:pPr>
        <w:pStyle w:val="Heading1"/>
        <w:spacing w:before="0"/>
      </w:pPr>
      <w:r>
        <w:t>External Audit</w:t>
      </w:r>
    </w:p>
    <w:p w14:paraId="05479EA0" w14:textId="77777777" w:rsidR="007B48CC" w:rsidRDefault="007B48CC">
      <w:pPr>
        <w:pStyle w:val="BodyText"/>
        <w:spacing w:before="9"/>
        <w:rPr>
          <w:b/>
          <w:sz w:val="32"/>
        </w:rPr>
      </w:pPr>
    </w:p>
    <w:p w14:paraId="279D14CD" w14:textId="77777777" w:rsidR="007B48CC" w:rsidRDefault="00E90905">
      <w:pPr>
        <w:pStyle w:val="ListParagraph"/>
        <w:numPr>
          <w:ilvl w:val="1"/>
          <w:numId w:val="13"/>
        </w:numPr>
        <w:tabs>
          <w:tab w:val="left" w:pos="1167"/>
        </w:tabs>
        <w:spacing w:line="276" w:lineRule="auto"/>
        <w:ind w:right="214"/>
        <w:jc w:val="both"/>
        <w:rPr>
          <w:color w:val="1F1F1F"/>
          <w:sz w:val="24"/>
        </w:rPr>
      </w:pPr>
      <w:r>
        <w:rPr>
          <w:color w:val="1F1F1F"/>
          <w:sz w:val="24"/>
        </w:rPr>
        <w:t>By virtue of paragraph 69 of the Scheme approved by the Secretary of State for Communities and Local Government under section 51 of, and Schedule 2 to, the Housing Act 1996 or the Government Resources and Accounts Act 2000 (Audit of Public Bodies) Order 2017, THO's accounts will be audited by the Comptroller and Auditor General</w:t>
      </w:r>
      <w:r>
        <w:rPr>
          <w:color w:val="1F1F1F"/>
          <w:spacing w:val="-2"/>
          <w:sz w:val="24"/>
        </w:rPr>
        <w:t xml:space="preserve"> </w:t>
      </w:r>
      <w:r>
        <w:rPr>
          <w:color w:val="1F1F1F"/>
          <w:sz w:val="24"/>
        </w:rPr>
        <w:t>(“C&amp;AG”).</w:t>
      </w:r>
    </w:p>
    <w:p w14:paraId="5033CA8C" w14:textId="77777777" w:rsidR="007B48CC" w:rsidRDefault="007B48CC">
      <w:pPr>
        <w:pStyle w:val="BodyText"/>
        <w:spacing w:before="6"/>
        <w:rPr>
          <w:sz w:val="27"/>
        </w:rPr>
      </w:pPr>
    </w:p>
    <w:p w14:paraId="6DEE4109" w14:textId="77777777" w:rsidR="007B48CC" w:rsidRDefault="00E90905">
      <w:pPr>
        <w:pStyle w:val="ListParagraph"/>
        <w:numPr>
          <w:ilvl w:val="1"/>
          <w:numId w:val="13"/>
        </w:numPr>
        <w:tabs>
          <w:tab w:val="left" w:pos="1167"/>
        </w:tabs>
        <w:spacing w:line="276" w:lineRule="auto"/>
        <w:ind w:right="219"/>
        <w:jc w:val="both"/>
        <w:rPr>
          <w:color w:val="1F1F1F"/>
          <w:sz w:val="24"/>
        </w:rPr>
      </w:pPr>
      <w:r>
        <w:rPr>
          <w:color w:val="1F1F1F"/>
          <w:sz w:val="24"/>
        </w:rPr>
        <w:t>The C&amp;AG will prepare a management letter each year. THO shall copy the letter to DCLG as soon as possible. The management letter will report on any serious internal control weaknesses identified through the normal course of the audit</w:t>
      </w:r>
      <w:r>
        <w:rPr>
          <w:color w:val="1F1F1F"/>
          <w:spacing w:val="-1"/>
          <w:sz w:val="24"/>
        </w:rPr>
        <w:t xml:space="preserve"> </w:t>
      </w:r>
      <w:r>
        <w:rPr>
          <w:color w:val="1F1F1F"/>
          <w:sz w:val="24"/>
        </w:rPr>
        <w:t>work.</w:t>
      </w:r>
    </w:p>
    <w:p w14:paraId="6841F0DA" w14:textId="77777777" w:rsidR="007B48CC" w:rsidRDefault="007B48CC">
      <w:pPr>
        <w:pStyle w:val="BodyText"/>
        <w:spacing w:before="9"/>
        <w:rPr>
          <w:sz w:val="27"/>
        </w:rPr>
      </w:pPr>
    </w:p>
    <w:p w14:paraId="44C1BB54" w14:textId="77777777" w:rsidR="007B48CC" w:rsidRDefault="00E90905">
      <w:pPr>
        <w:pStyle w:val="ListParagraph"/>
        <w:numPr>
          <w:ilvl w:val="1"/>
          <w:numId w:val="13"/>
        </w:numPr>
        <w:tabs>
          <w:tab w:val="left" w:pos="1320"/>
          <w:tab w:val="left" w:pos="1321"/>
        </w:tabs>
        <w:ind w:left="1320" w:hanging="721"/>
        <w:rPr>
          <w:sz w:val="24"/>
        </w:rPr>
      </w:pPr>
      <w:r>
        <w:rPr>
          <w:sz w:val="24"/>
        </w:rPr>
        <w:t>The</w:t>
      </w:r>
      <w:r>
        <w:rPr>
          <w:spacing w:val="-1"/>
          <w:sz w:val="24"/>
        </w:rPr>
        <w:t xml:space="preserve"> </w:t>
      </w:r>
      <w:r>
        <w:rPr>
          <w:sz w:val="24"/>
        </w:rPr>
        <w:t>C&amp;AG:</w:t>
      </w:r>
    </w:p>
    <w:p w14:paraId="573C6114" w14:textId="77777777" w:rsidR="007B48CC" w:rsidRDefault="00E90905">
      <w:pPr>
        <w:pStyle w:val="ListParagraph"/>
        <w:numPr>
          <w:ilvl w:val="0"/>
          <w:numId w:val="8"/>
        </w:numPr>
        <w:tabs>
          <w:tab w:val="left" w:pos="1609"/>
        </w:tabs>
        <w:spacing w:before="42" w:line="276" w:lineRule="auto"/>
        <w:ind w:right="214" w:firstLine="0"/>
        <w:jc w:val="both"/>
        <w:rPr>
          <w:sz w:val="24"/>
        </w:rPr>
      </w:pPr>
      <w:r>
        <w:rPr>
          <w:sz w:val="24"/>
        </w:rPr>
        <w:t>will consult DCLG and THO on whom – the NAO or a commercial auditor – shall undertake the audit on THO’s behalf, though the final decision rests with the C&amp;AG;</w:t>
      </w:r>
      <w:r>
        <w:rPr>
          <w:spacing w:val="-1"/>
          <w:sz w:val="24"/>
        </w:rPr>
        <w:t xml:space="preserve"> </w:t>
      </w:r>
      <w:r>
        <w:rPr>
          <w:sz w:val="24"/>
        </w:rPr>
        <w:t>and</w:t>
      </w:r>
    </w:p>
    <w:p w14:paraId="426514C2" w14:textId="77777777" w:rsidR="007B48CC" w:rsidRDefault="007B48CC">
      <w:pPr>
        <w:spacing w:line="276" w:lineRule="auto"/>
        <w:jc w:val="both"/>
        <w:rPr>
          <w:sz w:val="24"/>
        </w:rPr>
        <w:sectPr w:rsidR="007B48CC">
          <w:pgSz w:w="11910" w:h="16840"/>
          <w:pgMar w:top="1580" w:right="1220" w:bottom="1240" w:left="840" w:header="0" w:footer="1054" w:gutter="0"/>
          <w:cols w:space="720"/>
        </w:sectPr>
      </w:pPr>
    </w:p>
    <w:p w14:paraId="3ADA1DCF" w14:textId="77777777" w:rsidR="007B48CC" w:rsidRDefault="00E90905">
      <w:pPr>
        <w:pStyle w:val="ListParagraph"/>
        <w:numPr>
          <w:ilvl w:val="0"/>
          <w:numId w:val="8"/>
        </w:numPr>
        <w:tabs>
          <w:tab w:val="left" w:pos="1611"/>
        </w:tabs>
        <w:spacing w:before="80" w:line="276" w:lineRule="auto"/>
        <w:ind w:right="220" w:firstLine="0"/>
        <w:jc w:val="both"/>
        <w:rPr>
          <w:sz w:val="24"/>
        </w:rPr>
      </w:pPr>
      <w:r>
        <w:rPr>
          <w:sz w:val="24"/>
        </w:rPr>
        <w:lastRenderedPageBreak/>
        <w:t>has a statutory right of access to relevant documents, including by virtue of section 25(8) of the Government Resources and Accounts Act 2000, held by another party in receipt of payments or grants from</w:t>
      </w:r>
      <w:r>
        <w:rPr>
          <w:spacing w:val="-5"/>
          <w:sz w:val="24"/>
        </w:rPr>
        <w:t xml:space="preserve"> </w:t>
      </w:r>
      <w:r>
        <w:rPr>
          <w:sz w:val="24"/>
        </w:rPr>
        <w:t>THO.</w:t>
      </w:r>
    </w:p>
    <w:p w14:paraId="5CB6650A" w14:textId="77777777" w:rsidR="007B48CC" w:rsidRDefault="007B48CC">
      <w:pPr>
        <w:pStyle w:val="BodyText"/>
        <w:spacing w:before="7"/>
        <w:rPr>
          <w:sz w:val="27"/>
        </w:rPr>
      </w:pPr>
    </w:p>
    <w:p w14:paraId="5C4F1E7A" w14:textId="77777777" w:rsidR="007B48CC" w:rsidRDefault="00E90905">
      <w:pPr>
        <w:pStyle w:val="ListParagraph"/>
        <w:numPr>
          <w:ilvl w:val="1"/>
          <w:numId w:val="13"/>
        </w:numPr>
        <w:tabs>
          <w:tab w:val="left" w:pos="1167"/>
        </w:tabs>
        <w:spacing w:line="276" w:lineRule="auto"/>
        <w:ind w:right="217"/>
        <w:jc w:val="both"/>
        <w:rPr>
          <w:color w:val="1F1F1F"/>
          <w:sz w:val="24"/>
        </w:rPr>
      </w:pPr>
      <w:r>
        <w:rPr>
          <w:color w:val="1F1F1F"/>
          <w:sz w:val="24"/>
        </w:rPr>
        <w:t>The C&amp;AG may carry out examinations into the economy, efficiency and effectiveness with which THO has used its resources in discharging its functions. For the purpose of these examinations the C&amp;AG has statutory access to documents as provided for under section 8 of the National Audit Act 1983. In addition, THO shall provide, in conditions to grants and contracts, for the C&amp;AG to exercise such access to documents held by grant recipients and contractors and sub-contractors as may be required for these examinations; and shall use its best endeavours to secure access for the C&amp;AG to any other documents required by the C&amp;AG which are held by other</w:t>
      </w:r>
      <w:r>
        <w:rPr>
          <w:color w:val="1F1F1F"/>
          <w:spacing w:val="-15"/>
          <w:sz w:val="24"/>
        </w:rPr>
        <w:t xml:space="preserve"> </w:t>
      </w:r>
      <w:r>
        <w:rPr>
          <w:color w:val="1F1F1F"/>
          <w:sz w:val="24"/>
        </w:rPr>
        <w:t>bodies.</w:t>
      </w:r>
    </w:p>
    <w:p w14:paraId="62511319" w14:textId="77777777" w:rsidR="007B48CC" w:rsidRDefault="007B48CC">
      <w:pPr>
        <w:pStyle w:val="BodyText"/>
        <w:spacing w:before="5"/>
        <w:rPr>
          <w:sz w:val="36"/>
        </w:rPr>
      </w:pPr>
    </w:p>
    <w:p w14:paraId="5B568BAF" w14:textId="77777777" w:rsidR="007B48CC" w:rsidRDefault="00E90905">
      <w:pPr>
        <w:pStyle w:val="Heading1"/>
        <w:spacing w:before="0"/>
      </w:pPr>
      <w:r>
        <w:t>Right of access</w:t>
      </w:r>
    </w:p>
    <w:p w14:paraId="22399E1B" w14:textId="77777777" w:rsidR="007B48CC" w:rsidRDefault="007B48CC">
      <w:pPr>
        <w:pStyle w:val="BodyText"/>
        <w:rPr>
          <w:b/>
          <w:sz w:val="42"/>
        </w:rPr>
      </w:pPr>
    </w:p>
    <w:p w14:paraId="17732A02" w14:textId="77777777" w:rsidR="007B48CC" w:rsidRDefault="00E90905">
      <w:pPr>
        <w:pStyle w:val="ListParagraph"/>
        <w:numPr>
          <w:ilvl w:val="1"/>
          <w:numId w:val="13"/>
        </w:numPr>
        <w:tabs>
          <w:tab w:val="left" w:pos="1321"/>
        </w:tabs>
        <w:spacing w:line="276" w:lineRule="auto"/>
        <w:ind w:left="1320" w:right="215" w:hanging="720"/>
        <w:jc w:val="both"/>
        <w:rPr>
          <w:sz w:val="24"/>
        </w:rPr>
      </w:pPr>
      <w:r>
        <w:rPr>
          <w:sz w:val="24"/>
        </w:rPr>
        <w:t>DCLG has a right of access to all documents, other than  confidential case files held on THO’s casework management system, for any purpose related to sponsorship, as limited by data protection and information management legislation and governance in</w:t>
      </w:r>
      <w:r>
        <w:rPr>
          <w:spacing w:val="-3"/>
          <w:sz w:val="24"/>
        </w:rPr>
        <w:t xml:space="preserve"> </w:t>
      </w:r>
      <w:r>
        <w:rPr>
          <w:sz w:val="24"/>
        </w:rPr>
        <w:t>force.</w:t>
      </w:r>
    </w:p>
    <w:p w14:paraId="381F4B0B"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238EC74E" w14:textId="77777777" w:rsidR="007B48CC" w:rsidRDefault="00E90905">
      <w:pPr>
        <w:pStyle w:val="Heading1"/>
        <w:numPr>
          <w:ilvl w:val="0"/>
          <w:numId w:val="13"/>
        </w:numPr>
        <w:tabs>
          <w:tab w:val="left" w:pos="1320"/>
          <w:tab w:val="left" w:pos="1321"/>
        </w:tabs>
        <w:ind w:left="1320" w:hanging="721"/>
      </w:pPr>
      <w:r>
        <w:lastRenderedPageBreak/>
        <w:t>Management and Financial</w:t>
      </w:r>
      <w:r>
        <w:rPr>
          <w:spacing w:val="-4"/>
        </w:rPr>
        <w:t xml:space="preserve"> </w:t>
      </w:r>
      <w:r>
        <w:t>Responsibilities</w:t>
      </w:r>
    </w:p>
    <w:p w14:paraId="3780BACD" w14:textId="77777777" w:rsidR="007B48CC" w:rsidRDefault="00E90905">
      <w:pPr>
        <w:pStyle w:val="Heading2"/>
        <w:spacing w:before="259"/>
      </w:pPr>
      <w:r>
        <w:t>Financial management</w:t>
      </w:r>
    </w:p>
    <w:p w14:paraId="608B1E8A" w14:textId="77777777" w:rsidR="007B48CC" w:rsidRDefault="007B48CC">
      <w:pPr>
        <w:pStyle w:val="BodyText"/>
        <w:spacing w:before="7"/>
        <w:rPr>
          <w:b/>
          <w:sz w:val="20"/>
        </w:rPr>
      </w:pPr>
    </w:p>
    <w:p w14:paraId="541F8CB1" w14:textId="77777777" w:rsidR="007B48CC" w:rsidRDefault="00E90905">
      <w:pPr>
        <w:pStyle w:val="ListParagraph"/>
        <w:numPr>
          <w:ilvl w:val="1"/>
          <w:numId w:val="13"/>
        </w:numPr>
        <w:tabs>
          <w:tab w:val="left" w:pos="1320"/>
          <w:tab w:val="left" w:pos="1321"/>
        </w:tabs>
        <w:spacing w:line="276" w:lineRule="auto"/>
        <w:ind w:left="1279" w:right="535" w:hanging="680"/>
        <w:rPr>
          <w:sz w:val="24"/>
        </w:rPr>
      </w:pPr>
      <w:r>
        <w:tab/>
      </w:r>
      <w:r>
        <w:rPr>
          <w:sz w:val="24"/>
        </w:rPr>
        <w:t xml:space="preserve">THO shall follow the principles, rules, guidance and advice in </w:t>
      </w:r>
      <w:r>
        <w:rPr>
          <w:i/>
          <w:sz w:val="24"/>
        </w:rPr>
        <w:t>Managing Public Money</w:t>
      </w:r>
      <w:r>
        <w:rPr>
          <w:sz w:val="24"/>
        </w:rPr>
        <w:t>, referring any difficulties or potential bids for exceptions to the ALB Partnerships and Delivery Unit at DCLG in the first instance. A list of guidance and instructions with which THO should comply is in Annex</w:t>
      </w:r>
      <w:r>
        <w:rPr>
          <w:spacing w:val="-15"/>
          <w:sz w:val="24"/>
        </w:rPr>
        <w:t xml:space="preserve"> </w:t>
      </w:r>
      <w:r>
        <w:rPr>
          <w:sz w:val="24"/>
        </w:rPr>
        <w:t>C.</w:t>
      </w:r>
    </w:p>
    <w:p w14:paraId="5965461B" w14:textId="77777777" w:rsidR="007B48CC" w:rsidRDefault="007B48CC">
      <w:pPr>
        <w:pStyle w:val="BodyText"/>
        <w:spacing w:before="9"/>
        <w:rPr>
          <w:sz w:val="27"/>
        </w:rPr>
      </w:pPr>
    </w:p>
    <w:p w14:paraId="1D3F518D" w14:textId="77777777" w:rsidR="007B48CC" w:rsidRDefault="00E90905">
      <w:pPr>
        <w:pStyle w:val="ListParagraph"/>
        <w:numPr>
          <w:ilvl w:val="1"/>
          <w:numId w:val="13"/>
        </w:numPr>
        <w:tabs>
          <w:tab w:val="left" w:pos="1280"/>
        </w:tabs>
        <w:spacing w:line="276" w:lineRule="auto"/>
        <w:ind w:left="1279" w:right="219" w:hanging="680"/>
        <w:jc w:val="both"/>
        <w:rPr>
          <w:sz w:val="24"/>
        </w:rPr>
      </w:pPr>
      <w:r>
        <w:rPr>
          <w:sz w:val="24"/>
        </w:rPr>
        <w:t>Once the business plan and budget have been approved by the Secretary of State, and subject to any restrictions imposed by the responsible minister’s instructions, THO shall have authority to incur revenue and capital expenditure approved in the budget without further reference to DCLG, on the following conditions:</w:t>
      </w:r>
    </w:p>
    <w:p w14:paraId="21285C9A" w14:textId="77777777" w:rsidR="007B48CC" w:rsidRDefault="00E90905">
      <w:pPr>
        <w:pStyle w:val="ListParagraph"/>
        <w:numPr>
          <w:ilvl w:val="2"/>
          <w:numId w:val="13"/>
        </w:numPr>
        <w:tabs>
          <w:tab w:val="left" w:pos="1878"/>
        </w:tabs>
        <w:spacing w:before="1" w:line="273" w:lineRule="auto"/>
        <w:ind w:left="1877" w:right="214" w:hanging="286"/>
        <w:jc w:val="both"/>
        <w:rPr>
          <w:sz w:val="24"/>
        </w:rPr>
      </w:pPr>
      <w:r>
        <w:rPr>
          <w:sz w:val="24"/>
        </w:rPr>
        <w:t>THO shall comply with the budget delegations set out in Annex D and in the annual budget delegation letter to THO. These delegations shall not be altered without prior agreement by</w:t>
      </w:r>
      <w:r>
        <w:rPr>
          <w:spacing w:val="-10"/>
          <w:sz w:val="24"/>
        </w:rPr>
        <w:t xml:space="preserve"> </w:t>
      </w:r>
      <w:r>
        <w:rPr>
          <w:sz w:val="24"/>
        </w:rPr>
        <w:t>DCLG;</w:t>
      </w:r>
    </w:p>
    <w:p w14:paraId="24753346" w14:textId="77777777" w:rsidR="007B48CC" w:rsidRDefault="00E90905">
      <w:pPr>
        <w:pStyle w:val="ListParagraph"/>
        <w:numPr>
          <w:ilvl w:val="2"/>
          <w:numId w:val="13"/>
        </w:numPr>
        <w:tabs>
          <w:tab w:val="left" w:pos="1878"/>
        </w:tabs>
        <w:spacing w:line="276" w:lineRule="auto"/>
        <w:ind w:left="1877" w:right="214" w:hanging="286"/>
        <w:jc w:val="both"/>
        <w:rPr>
          <w:sz w:val="24"/>
        </w:rPr>
      </w:pPr>
      <w:r>
        <w:rPr>
          <w:sz w:val="24"/>
        </w:rPr>
        <w:t xml:space="preserve">THO shall comply with </w:t>
      </w:r>
      <w:r>
        <w:rPr>
          <w:i/>
          <w:sz w:val="24"/>
        </w:rPr>
        <w:t xml:space="preserve">Managing Public Money </w:t>
      </w:r>
      <w:r>
        <w:rPr>
          <w:sz w:val="24"/>
        </w:rPr>
        <w:t>regarding novel, contentious or repercussive</w:t>
      </w:r>
      <w:r>
        <w:rPr>
          <w:spacing w:val="-4"/>
          <w:sz w:val="24"/>
        </w:rPr>
        <w:t xml:space="preserve"> </w:t>
      </w:r>
      <w:r>
        <w:rPr>
          <w:sz w:val="24"/>
        </w:rPr>
        <w:t>proposals;</w:t>
      </w:r>
    </w:p>
    <w:p w14:paraId="3F3CC82A" w14:textId="77777777" w:rsidR="007B48CC" w:rsidRDefault="00E90905">
      <w:pPr>
        <w:pStyle w:val="ListParagraph"/>
        <w:numPr>
          <w:ilvl w:val="2"/>
          <w:numId w:val="13"/>
        </w:numPr>
        <w:tabs>
          <w:tab w:val="left" w:pos="1878"/>
        </w:tabs>
        <w:spacing w:line="291" w:lineRule="exact"/>
        <w:ind w:left="1877" w:hanging="287"/>
        <w:jc w:val="both"/>
        <w:rPr>
          <w:sz w:val="24"/>
        </w:rPr>
      </w:pPr>
      <w:r>
        <w:rPr>
          <w:sz w:val="24"/>
        </w:rPr>
        <w:t>THO will comply with the Cabinet Office and DCLG Spending</w:t>
      </w:r>
      <w:r>
        <w:rPr>
          <w:spacing w:val="-10"/>
          <w:sz w:val="24"/>
        </w:rPr>
        <w:t xml:space="preserve"> </w:t>
      </w:r>
      <w:r>
        <w:rPr>
          <w:sz w:val="24"/>
        </w:rPr>
        <w:t>Controls.</w:t>
      </w:r>
    </w:p>
    <w:p w14:paraId="19D7D4E4" w14:textId="77777777" w:rsidR="007B48CC" w:rsidRDefault="00E90905">
      <w:pPr>
        <w:pStyle w:val="ListParagraph"/>
        <w:numPr>
          <w:ilvl w:val="2"/>
          <w:numId w:val="13"/>
        </w:numPr>
        <w:tabs>
          <w:tab w:val="left" w:pos="1878"/>
        </w:tabs>
        <w:spacing w:before="40" w:line="276" w:lineRule="auto"/>
        <w:ind w:left="1877" w:right="215" w:hanging="286"/>
        <w:jc w:val="both"/>
        <w:rPr>
          <w:sz w:val="24"/>
        </w:rPr>
      </w:pPr>
      <w:r>
        <w:rPr>
          <w:sz w:val="24"/>
        </w:rPr>
        <w:t>Inclusion of any planned and approved expenditure in the budget shall not remove the need to seek formal departmental approval where any proposed expenditure is outside the delegated limits or is for new schemes not previously agreed;</w:t>
      </w:r>
      <w:r>
        <w:rPr>
          <w:spacing w:val="-5"/>
          <w:sz w:val="24"/>
        </w:rPr>
        <w:t xml:space="preserve"> </w:t>
      </w:r>
      <w:r>
        <w:rPr>
          <w:sz w:val="24"/>
        </w:rPr>
        <w:t>and</w:t>
      </w:r>
    </w:p>
    <w:p w14:paraId="080EFC4F" w14:textId="77777777" w:rsidR="007B48CC" w:rsidRDefault="00E90905">
      <w:pPr>
        <w:pStyle w:val="ListParagraph"/>
        <w:numPr>
          <w:ilvl w:val="2"/>
          <w:numId w:val="13"/>
        </w:numPr>
        <w:tabs>
          <w:tab w:val="left" w:pos="1878"/>
        </w:tabs>
        <w:spacing w:line="273" w:lineRule="auto"/>
        <w:ind w:left="1877" w:right="214" w:hanging="286"/>
        <w:jc w:val="both"/>
        <w:rPr>
          <w:sz w:val="24"/>
        </w:rPr>
      </w:pPr>
      <w:r>
        <w:rPr>
          <w:sz w:val="24"/>
        </w:rPr>
        <w:t>THO shall provide DCLG with such information about its operations, performance on individual projects or other expenditure as DCLG may reasonably</w:t>
      </w:r>
      <w:r>
        <w:rPr>
          <w:spacing w:val="-4"/>
          <w:sz w:val="24"/>
        </w:rPr>
        <w:t xml:space="preserve"> </w:t>
      </w:r>
      <w:r>
        <w:rPr>
          <w:sz w:val="24"/>
        </w:rPr>
        <w:t>require.</w:t>
      </w:r>
    </w:p>
    <w:p w14:paraId="41F20F22" w14:textId="77777777" w:rsidR="007B48CC" w:rsidRDefault="007B48CC">
      <w:pPr>
        <w:pStyle w:val="BodyText"/>
        <w:rPr>
          <w:sz w:val="26"/>
        </w:rPr>
      </w:pPr>
    </w:p>
    <w:p w14:paraId="7E3B5A2C" w14:textId="77777777" w:rsidR="007B48CC" w:rsidRDefault="007B48CC">
      <w:pPr>
        <w:pStyle w:val="BodyText"/>
        <w:spacing w:before="4"/>
        <w:rPr>
          <w:sz w:val="29"/>
        </w:rPr>
      </w:pPr>
    </w:p>
    <w:p w14:paraId="45FF4D7C" w14:textId="77777777" w:rsidR="007B48CC" w:rsidRDefault="00E90905">
      <w:pPr>
        <w:pStyle w:val="Heading2"/>
        <w:spacing w:before="1"/>
      </w:pPr>
      <w:r>
        <w:t>Risk Management</w:t>
      </w:r>
    </w:p>
    <w:p w14:paraId="6E4C5F7E" w14:textId="77777777" w:rsidR="007B48CC" w:rsidRDefault="007B48CC">
      <w:pPr>
        <w:pStyle w:val="BodyText"/>
        <w:spacing w:before="1"/>
        <w:rPr>
          <w:b/>
          <w:sz w:val="31"/>
        </w:rPr>
      </w:pPr>
    </w:p>
    <w:p w14:paraId="02F84FA0" w14:textId="77777777" w:rsidR="007B48CC" w:rsidRDefault="00E90905">
      <w:pPr>
        <w:pStyle w:val="BodyText"/>
        <w:spacing w:line="276" w:lineRule="auto"/>
        <w:ind w:left="1320" w:right="216" w:hanging="720"/>
        <w:jc w:val="both"/>
      </w:pPr>
      <w:r>
        <w:t xml:space="preserve">8.3. THO shall ensure that the risks he or she faces are dealt  with  in  an  appropriate manner, in accordance with relevant aspects of best practice in corporate governance, and develop a risk management strategy, in accordance with the Treasury guidance </w:t>
      </w:r>
      <w:r>
        <w:rPr>
          <w:i/>
        </w:rPr>
        <w:t>Management of Risk: Principles and Concepts:</w:t>
      </w:r>
      <w:r>
        <w:rPr>
          <w:i/>
          <w:color w:val="0000FF"/>
          <w:spacing w:val="1"/>
        </w:rPr>
        <w:t xml:space="preserve"> </w:t>
      </w:r>
      <w:hyperlink r:id="rId16">
        <w:r>
          <w:rPr>
            <w:color w:val="0000FF"/>
            <w:u w:val="single" w:color="0000FF"/>
          </w:rPr>
          <w:t>http://www.hm-treasury.gov.uk/orange_book.htm</w:t>
        </w:r>
      </w:hyperlink>
    </w:p>
    <w:p w14:paraId="0B136181" w14:textId="77777777" w:rsidR="007B48CC" w:rsidRDefault="007B48CC">
      <w:pPr>
        <w:pStyle w:val="BodyText"/>
        <w:spacing w:before="8"/>
        <w:rPr>
          <w:sz w:val="19"/>
        </w:rPr>
      </w:pPr>
    </w:p>
    <w:p w14:paraId="01904412" w14:textId="77777777" w:rsidR="007B48CC" w:rsidRDefault="00E90905">
      <w:pPr>
        <w:pStyle w:val="Heading2"/>
        <w:spacing w:before="93"/>
      </w:pPr>
      <w:r>
        <w:t>Fraud and Theft</w:t>
      </w:r>
    </w:p>
    <w:p w14:paraId="16902579" w14:textId="77777777" w:rsidR="007B48CC" w:rsidRDefault="007B48CC">
      <w:pPr>
        <w:pStyle w:val="BodyText"/>
        <w:spacing w:before="1"/>
        <w:rPr>
          <w:b/>
          <w:sz w:val="31"/>
        </w:rPr>
      </w:pPr>
    </w:p>
    <w:p w14:paraId="32FA4D5B" w14:textId="77777777" w:rsidR="007B48CC" w:rsidRDefault="00E90905">
      <w:pPr>
        <w:pStyle w:val="ListParagraph"/>
        <w:numPr>
          <w:ilvl w:val="1"/>
          <w:numId w:val="7"/>
        </w:numPr>
        <w:tabs>
          <w:tab w:val="left" w:pos="1308"/>
          <w:tab w:val="left" w:pos="1309"/>
        </w:tabs>
        <w:spacing w:line="276" w:lineRule="auto"/>
        <w:ind w:right="313"/>
        <w:rPr>
          <w:sz w:val="24"/>
        </w:rPr>
      </w:pPr>
      <w:r>
        <w:rPr>
          <w:sz w:val="24"/>
        </w:rPr>
        <w:t>THO shall adopt and implement policies and practices to safeguard THO against fraud and theft, in line with the Treasury’s and NAO’s guidance on tackling internal and external fraud:</w:t>
      </w:r>
      <w:r>
        <w:rPr>
          <w:color w:val="0000FF"/>
          <w:sz w:val="24"/>
          <w:u w:val="single" w:color="0000FF"/>
        </w:rPr>
        <w:t xml:space="preserve"> http://webarchive.nationalarchives.gov.uk/20130129110402/http://www.hm- treasury.gov.uk/d/managing_the_risk_fraud_guide_for_managers.pdf.pdf</w:t>
      </w:r>
      <w:r>
        <w:rPr>
          <w:color w:val="0000FF"/>
          <w:spacing w:val="-13"/>
          <w:sz w:val="24"/>
          <w:u w:val="single" w:color="0000FF"/>
        </w:rPr>
        <w:t xml:space="preserve"> </w:t>
      </w:r>
      <w:r>
        <w:rPr>
          <w:color w:val="0000FF"/>
          <w:sz w:val="24"/>
          <w:u w:val="single" w:color="0000FF"/>
        </w:rPr>
        <w:t>and</w:t>
      </w:r>
    </w:p>
    <w:p w14:paraId="4776758B" w14:textId="77777777" w:rsidR="007B48CC" w:rsidRDefault="007B48CC">
      <w:pPr>
        <w:spacing w:line="276" w:lineRule="auto"/>
        <w:rPr>
          <w:sz w:val="24"/>
        </w:rPr>
        <w:sectPr w:rsidR="007B48CC">
          <w:pgSz w:w="11910" w:h="16840"/>
          <w:pgMar w:top="1340" w:right="1220" w:bottom="1240" w:left="840" w:header="0" w:footer="1054" w:gutter="0"/>
          <w:cols w:space="720"/>
        </w:sectPr>
      </w:pPr>
    </w:p>
    <w:p w14:paraId="268822D3" w14:textId="77777777" w:rsidR="007B48CC" w:rsidRDefault="00E90905">
      <w:pPr>
        <w:pStyle w:val="BodyText"/>
        <w:spacing w:before="80" w:line="276" w:lineRule="auto"/>
        <w:ind w:left="1308" w:right="2758"/>
      </w:pPr>
      <w:r>
        <w:rPr>
          <w:color w:val="0000FF"/>
          <w:u w:val="single" w:color="0000FF"/>
        </w:rPr>
        <w:lastRenderedPageBreak/>
        <w:t>https://</w:t>
      </w:r>
      <w:hyperlink r:id="rId17">
        <w:r>
          <w:rPr>
            <w:color w:val="0000FF"/>
            <w:u w:val="single" w:color="0000FF"/>
          </w:rPr>
          <w:t>www.nao.org.uk/wp-</w:t>
        </w:r>
      </w:hyperlink>
      <w:r>
        <w:rPr>
          <w:color w:val="0000FF"/>
        </w:rPr>
        <w:t xml:space="preserve"> </w:t>
      </w:r>
      <w:r>
        <w:rPr>
          <w:color w:val="0000FF"/>
          <w:u w:val="single" w:color="0000FF"/>
        </w:rPr>
        <w:t>content/uploads/2013/02/Tackling_External_Fraud.pdf</w:t>
      </w:r>
    </w:p>
    <w:p w14:paraId="4FACBD83" w14:textId="77777777" w:rsidR="007B48CC" w:rsidRDefault="007B48CC">
      <w:pPr>
        <w:pStyle w:val="BodyText"/>
        <w:rPr>
          <w:sz w:val="20"/>
        </w:rPr>
      </w:pPr>
    </w:p>
    <w:p w14:paraId="30EF21A8" w14:textId="77777777" w:rsidR="007B48CC" w:rsidRDefault="007B48CC">
      <w:pPr>
        <w:pStyle w:val="BodyText"/>
        <w:spacing w:before="2"/>
        <w:rPr>
          <w:sz w:val="27"/>
        </w:rPr>
      </w:pPr>
    </w:p>
    <w:p w14:paraId="60EB066B" w14:textId="77777777" w:rsidR="007B48CC" w:rsidRDefault="00E90905">
      <w:pPr>
        <w:pStyle w:val="ListParagraph"/>
        <w:numPr>
          <w:ilvl w:val="1"/>
          <w:numId w:val="7"/>
        </w:numPr>
        <w:tabs>
          <w:tab w:val="left" w:pos="1309"/>
        </w:tabs>
        <w:spacing w:before="92" w:line="276" w:lineRule="auto"/>
        <w:ind w:right="217"/>
        <w:jc w:val="both"/>
        <w:rPr>
          <w:sz w:val="24"/>
        </w:rPr>
      </w:pPr>
      <w:r>
        <w:rPr>
          <w:sz w:val="24"/>
        </w:rPr>
        <w:t>THO shall keep records of, and prepare to forward to DCLG an annual report on fraud and theft suffered by THO, and notify DCLG of any unusual or major incidents as soon as</w:t>
      </w:r>
      <w:r>
        <w:rPr>
          <w:spacing w:val="-5"/>
          <w:sz w:val="24"/>
        </w:rPr>
        <w:t xml:space="preserve"> </w:t>
      </w:r>
      <w:r>
        <w:rPr>
          <w:sz w:val="24"/>
        </w:rPr>
        <w:t>possible.</w:t>
      </w:r>
    </w:p>
    <w:p w14:paraId="33620F4A" w14:textId="77777777" w:rsidR="007B48CC" w:rsidRDefault="007B48CC">
      <w:pPr>
        <w:pStyle w:val="BodyText"/>
        <w:spacing w:before="7"/>
        <w:rPr>
          <w:sz w:val="27"/>
        </w:rPr>
      </w:pPr>
    </w:p>
    <w:p w14:paraId="53F14A3F" w14:textId="77777777" w:rsidR="007B48CC" w:rsidRDefault="00E90905">
      <w:pPr>
        <w:pStyle w:val="Heading2"/>
      </w:pPr>
      <w:r>
        <w:t>Subscription Income</w:t>
      </w:r>
    </w:p>
    <w:p w14:paraId="6ABA2DD9" w14:textId="77777777" w:rsidR="007B48CC" w:rsidRDefault="007B48CC">
      <w:pPr>
        <w:pStyle w:val="BodyText"/>
        <w:spacing w:before="2"/>
        <w:rPr>
          <w:b/>
          <w:sz w:val="31"/>
        </w:rPr>
      </w:pPr>
    </w:p>
    <w:p w14:paraId="037DCB4E" w14:textId="77777777" w:rsidR="007B48CC" w:rsidRDefault="00E90905">
      <w:pPr>
        <w:pStyle w:val="ListParagraph"/>
        <w:numPr>
          <w:ilvl w:val="1"/>
          <w:numId w:val="7"/>
        </w:numPr>
        <w:tabs>
          <w:tab w:val="left" w:pos="1308"/>
          <w:tab w:val="left" w:pos="1309"/>
        </w:tabs>
        <w:spacing w:line="276" w:lineRule="auto"/>
        <w:ind w:right="567"/>
        <w:rPr>
          <w:color w:val="242424"/>
          <w:sz w:val="24"/>
        </w:rPr>
      </w:pPr>
      <w:r>
        <w:rPr>
          <w:color w:val="242424"/>
          <w:sz w:val="24"/>
        </w:rPr>
        <w:t>Under the terms of the legislation the THO is funded through a subscr</w:t>
      </w:r>
      <w:r>
        <w:rPr>
          <w:color w:val="424242"/>
          <w:sz w:val="24"/>
        </w:rPr>
        <w:t>i</w:t>
      </w:r>
      <w:r>
        <w:rPr>
          <w:color w:val="242424"/>
          <w:sz w:val="24"/>
        </w:rPr>
        <w:t>ption from members, the amount of which will be decided by THO (calculated by reference to the number of units covered by the Scheme) and payable on demand.</w:t>
      </w:r>
    </w:p>
    <w:p w14:paraId="0BED3147" w14:textId="77777777" w:rsidR="007B48CC" w:rsidRDefault="007B48CC">
      <w:pPr>
        <w:pStyle w:val="BodyText"/>
        <w:spacing w:before="9"/>
        <w:rPr>
          <w:sz w:val="27"/>
        </w:rPr>
      </w:pPr>
    </w:p>
    <w:p w14:paraId="25881E47" w14:textId="77777777" w:rsidR="007B48CC" w:rsidRDefault="00E90905">
      <w:pPr>
        <w:pStyle w:val="BodyText"/>
        <w:tabs>
          <w:tab w:val="left" w:pos="1320"/>
        </w:tabs>
        <w:spacing w:line="276" w:lineRule="auto"/>
        <w:ind w:left="1320" w:right="645" w:hanging="720"/>
      </w:pPr>
      <w:r>
        <w:rPr>
          <w:color w:val="242424"/>
        </w:rPr>
        <w:t>8.7.</w:t>
      </w:r>
      <w:r>
        <w:rPr>
          <w:color w:val="242424"/>
        </w:rPr>
        <w:tab/>
      </w:r>
      <w:r>
        <w:rPr>
          <w:color w:val="202020"/>
        </w:rPr>
        <w:t xml:space="preserve">THO may </w:t>
      </w:r>
      <w:r>
        <w:rPr>
          <w:color w:val="242424"/>
        </w:rPr>
        <w:t>increase subscriptions only with the approval of the Secretary</w:t>
      </w:r>
      <w:r>
        <w:rPr>
          <w:color w:val="242424"/>
          <w:spacing w:val="-29"/>
        </w:rPr>
        <w:t xml:space="preserve"> </w:t>
      </w:r>
      <w:r>
        <w:rPr>
          <w:color w:val="242424"/>
        </w:rPr>
        <w:t>of State.</w:t>
      </w:r>
    </w:p>
    <w:p w14:paraId="71FE4715" w14:textId="77777777" w:rsidR="007B48CC" w:rsidRDefault="007B48CC">
      <w:pPr>
        <w:pStyle w:val="BodyText"/>
        <w:spacing w:before="5"/>
        <w:rPr>
          <w:sz w:val="27"/>
        </w:rPr>
      </w:pPr>
    </w:p>
    <w:p w14:paraId="42F9E0CC" w14:textId="77777777" w:rsidR="007B48CC" w:rsidRDefault="00E90905">
      <w:pPr>
        <w:pStyle w:val="Heading2"/>
      </w:pPr>
      <w:r>
        <w:t>Business Plans</w:t>
      </w:r>
    </w:p>
    <w:p w14:paraId="0731C8CE" w14:textId="77777777" w:rsidR="007B48CC" w:rsidRDefault="007B48CC">
      <w:pPr>
        <w:pStyle w:val="BodyText"/>
        <w:rPr>
          <w:b/>
          <w:sz w:val="26"/>
        </w:rPr>
      </w:pPr>
    </w:p>
    <w:p w14:paraId="1BF14062" w14:textId="77777777" w:rsidR="007B48CC" w:rsidRDefault="007B48CC">
      <w:pPr>
        <w:pStyle w:val="BodyText"/>
        <w:spacing w:before="7"/>
        <w:rPr>
          <w:b/>
          <w:sz w:val="22"/>
        </w:rPr>
      </w:pPr>
    </w:p>
    <w:p w14:paraId="113FB643" w14:textId="77777777" w:rsidR="007B48CC" w:rsidRDefault="00E90905">
      <w:pPr>
        <w:pStyle w:val="ListParagraph"/>
        <w:numPr>
          <w:ilvl w:val="1"/>
          <w:numId w:val="6"/>
        </w:numPr>
        <w:tabs>
          <w:tab w:val="left" w:pos="1309"/>
        </w:tabs>
        <w:spacing w:before="1" w:line="276" w:lineRule="auto"/>
        <w:ind w:right="217"/>
        <w:jc w:val="both"/>
        <w:rPr>
          <w:sz w:val="24"/>
        </w:rPr>
      </w:pPr>
      <w:r>
        <w:rPr>
          <w:color w:val="1F1F1F"/>
          <w:sz w:val="24"/>
        </w:rPr>
        <w:t>Prior to the start of each financial year, THO will publish a business plan including projected annual budget, performance criteria, and targets. THO must have regard to the number of disputes being or likely to be submitted to THO, to the proposed performance criteria and targets and the need to have appropriate and adequate resources to enable him or her to carry out his or her functions effectively in a timely manner, and in accordance with the Scheme.</w:t>
      </w:r>
    </w:p>
    <w:p w14:paraId="543FE6D4" w14:textId="77777777" w:rsidR="007B48CC" w:rsidRDefault="007B48CC">
      <w:pPr>
        <w:pStyle w:val="BodyText"/>
        <w:spacing w:before="7"/>
        <w:rPr>
          <w:sz w:val="27"/>
        </w:rPr>
      </w:pPr>
    </w:p>
    <w:p w14:paraId="32873F96" w14:textId="77777777" w:rsidR="007B48CC" w:rsidRDefault="00E90905">
      <w:pPr>
        <w:pStyle w:val="ListParagraph"/>
        <w:numPr>
          <w:ilvl w:val="1"/>
          <w:numId w:val="6"/>
        </w:numPr>
        <w:tabs>
          <w:tab w:val="left" w:pos="1320"/>
          <w:tab w:val="left" w:pos="1321"/>
        </w:tabs>
        <w:spacing w:line="276" w:lineRule="auto"/>
        <w:ind w:left="1320" w:right="294" w:hanging="720"/>
        <w:rPr>
          <w:sz w:val="24"/>
        </w:rPr>
      </w:pPr>
      <w:r>
        <w:rPr>
          <w:color w:val="1F1F1F"/>
          <w:sz w:val="24"/>
        </w:rPr>
        <w:t>Every year, usually by November, THO will consult residents and members of the Scheme. on the draft business plan. The consultation document will be sent to DCLG for information in advance of</w:t>
      </w:r>
      <w:r>
        <w:rPr>
          <w:color w:val="1F1F1F"/>
          <w:spacing w:val="-7"/>
          <w:sz w:val="24"/>
        </w:rPr>
        <w:t xml:space="preserve"> </w:t>
      </w:r>
      <w:r>
        <w:rPr>
          <w:color w:val="1F1F1F"/>
          <w:sz w:val="24"/>
        </w:rPr>
        <w:t>consultation.</w:t>
      </w:r>
    </w:p>
    <w:p w14:paraId="099F3EE7" w14:textId="77777777" w:rsidR="007B48CC" w:rsidRDefault="007B48CC">
      <w:pPr>
        <w:pStyle w:val="BodyText"/>
        <w:spacing w:before="7"/>
        <w:rPr>
          <w:sz w:val="27"/>
        </w:rPr>
      </w:pPr>
    </w:p>
    <w:p w14:paraId="3D3CDC7D" w14:textId="77777777" w:rsidR="007B48CC" w:rsidRDefault="00E90905">
      <w:pPr>
        <w:pStyle w:val="ListParagraph"/>
        <w:numPr>
          <w:ilvl w:val="1"/>
          <w:numId w:val="6"/>
        </w:numPr>
        <w:tabs>
          <w:tab w:val="left" w:pos="1280"/>
        </w:tabs>
        <w:spacing w:line="276" w:lineRule="auto"/>
        <w:ind w:left="1279" w:right="226" w:hanging="680"/>
        <w:jc w:val="both"/>
        <w:rPr>
          <w:sz w:val="24"/>
        </w:rPr>
      </w:pPr>
      <w:r>
        <w:rPr>
          <w:color w:val="1F1F1F"/>
          <w:sz w:val="24"/>
        </w:rPr>
        <w:t xml:space="preserve">Following consultation each year, the business plan, including strategic objectives and the budget, will be reviewed and amended as appropriate and submitted to </w:t>
      </w:r>
      <w:r>
        <w:rPr>
          <w:sz w:val="24"/>
        </w:rPr>
        <w:t>DCLG for approval by the Secretary of State. This will usually be done by February each</w:t>
      </w:r>
      <w:r>
        <w:rPr>
          <w:spacing w:val="-8"/>
          <w:sz w:val="24"/>
        </w:rPr>
        <w:t xml:space="preserve"> </w:t>
      </w:r>
      <w:r>
        <w:rPr>
          <w:sz w:val="24"/>
        </w:rPr>
        <w:t>year.</w:t>
      </w:r>
    </w:p>
    <w:p w14:paraId="62E38691" w14:textId="77777777" w:rsidR="007B48CC" w:rsidRDefault="007B48CC">
      <w:pPr>
        <w:pStyle w:val="BodyText"/>
        <w:spacing w:before="7"/>
        <w:rPr>
          <w:sz w:val="27"/>
        </w:rPr>
      </w:pPr>
    </w:p>
    <w:p w14:paraId="4DAE5CBD" w14:textId="77777777" w:rsidR="007B48CC" w:rsidRDefault="00E90905">
      <w:pPr>
        <w:pStyle w:val="ListParagraph"/>
        <w:numPr>
          <w:ilvl w:val="1"/>
          <w:numId w:val="6"/>
        </w:numPr>
        <w:tabs>
          <w:tab w:val="left" w:pos="1279"/>
          <w:tab w:val="left" w:pos="1280"/>
        </w:tabs>
        <w:ind w:left="1279" w:hanging="680"/>
        <w:rPr>
          <w:sz w:val="24"/>
        </w:rPr>
      </w:pPr>
      <w:r>
        <w:rPr>
          <w:sz w:val="24"/>
        </w:rPr>
        <w:t>The following key matters should be included in the</w:t>
      </w:r>
      <w:r>
        <w:rPr>
          <w:spacing w:val="-11"/>
          <w:sz w:val="24"/>
        </w:rPr>
        <w:t xml:space="preserve"> </w:t>
      </w:r>
      <w:r>
        <w:rPr>
          <w:sz w:val="24"/>
        </w:rPr>
        <w:t>plan:</w:t>
      </w:r>
    </w:p>
    <w:p w14:paraId="3528A65D" w14:textId="77777777" w:rsidR="007B48CC" w:rsidRDefault="00E90905">
      <w:pPr>
        <w:pStyle w:val="ListParagraph"/>
        <w:numPr>
          <w:ilvl w:val="2"/>
          <w:numId w:val="6"/>
        </w:numPr>
        <w:tabs>
          <w:tab w:val="left" w:pos="2093"/>
          <w:tab w:val="left" w:pos="2094"/>
        </w:tabs>
        <w:spacing w:before="39" w:line="273" w:lineRule="auto"/>
        <w:ind w:right="226"/>
        <w:rPr>
          <w:sz w:val="24"/>
        </w:rPr>
      </w:pPr>
      <w:r>
        <w:rPr>
          <w:sz w:val="24"/>
        </w:rPr>
        <w:t>key objectives and associated key performance targets for the forward years;</w:t>
      </w:r>
    </w:p>
    <w:p w14:paraId="7383003E" w14:textId="77777777" w:rsidR="007B48CC" w:rsidRDefault="00E90905">
      <w:pPr>
        <w:pStyle w:val="ListParagraph"/>
        <w:numPr>
          <w:ilvl w:val="2"/>
          <w:numId w:val="6"/>
        </w:numPr>
        <w:tabs>
          <w:tab w:val="left" w:pos="2093"/>
          <w:tab w:val="left" w:pos="2094"/>
        </w:tabs>
        <w:spacing w:before="3"/>
        <w:ind w:hanging="568"/>
        <w:rPr>
          <w:sz w:val="24"/>
        </w:rPr>
      </w:pPr>
      <w:r>
        <w:rPr>
          <w:sz w:val="24"/>
        </w:rPr>
        <w:t>key non-financial performance</w:t>
      </w:r>
      <w:r>
        <w:rPr>
          <w:spacing w:val="-4"/>
          <w:sz w:val="24"/>
        </w:rPr>
        <w:t xml:space="preserve"> </w:t>
      </w:r>
      <w:r>
        <w:rPr>
          <w:sz w:val="24"/>
        </w:rPr>
        <w:t>targets;</w:t>
      </w:r>
    </w:p>
    <w:p w14:paraId="03AD4F27" w14:textId="77777777" w:rsidR="007B48CC" w:rsidRDefault="00E90905">
      <w:pPr>
        <w:pStyle w:val="ListParagraph"/>
        <w:numPr>
          <w:ilvl w:val="2"/>
          <w:numId w:val="6"/>
        </w:numPr>
        <w:tabs>
          <w:tab w:val="left" w:pos="2093"/>
          <w:tab w:val="left" w:pos="2094"/>
        </w:tabs>
        <w:spacing w:before="40" w:line="273" w:lineRule="auto"/>
        <w:ind w:right="226"/>
        <w:rPr>
          <w:sz w:val="24"/>
        </w:rPr>
      </w:pPr>
      <w:r>
        <w:rPr>
          <w:color w:val="1F1F1F"/>
          <w:sz w:val="24"/>
        </w:rPr>
        <w:t>a review of performance in the preceding financial year and an estimate of performance in the current year;</w:t>
      </w:r>
      <w:r>
        <w:rPr>
          <w:color w:val="1F1F1F"/>
          <w:spacing w:val="-1"/>
          <w:sz w:val="24"/>
        </w:rPr>
        <w:t xml:space="preserve"> </w:t>
      </w:r>
      <w:r>
        <w:rPr>
          <w:color w:val="1F1F1F"/>
          <w:sz w:val="24"/>
        </w:rPr>
        <w:t>and</w:t>
      </w:r>
    </w:p>
    <w:p w14:paraId="2AC22BC3" w14:textId="77777777" w:rsidR="007B48CC" w:rsidRDefault="007B48CC">
      <w:pPr>
        <w:spacing w:line="273" w:lineRule="auto"/>
        <w:rPr>
          <w:sz w:val="24"/>
        </w:rPr>
        <w:sectPr w:rsidR="007B48CC">
          <w:pgSz w:w="11910" w:h="16840"/>
          <w:pgMar w:top="1340" w:right="1220" w:bottom="1240" w:left="840" w:header="0" w:footer="1054" w:gutter="0"/>
          <w:cols w:space="720"/>
        </w:sectPr>
      </w:pPr>
    </w:p>
    <w:p w14:paraId="7615B233" w14:textId="77777777" w:rsidR="007B48CC" w:rsidRDefault="00E90905">
      <w:pPr>
        <w:pStyle w:val="ListParagraph"/>
        <w:numPr>
          <w:ilvl w:val="2"/>
          <w:numId w:val="6"/>
        </w:numPr>
        <w:tabs>
          <w:tab w:val="left" w:pos="2094"/>
        </w:tabs>
        <w:spacing w:before="78" w:line="273" w:lineRule="auto"/>
        <w:ind w:right="225"/>
        <w:jc w:val="both"/>
        <w:rPr>
          <w:sz w:val="24"/>
        </w:rPr>
      </w:pPr>
      <w:r>
        <w:rPr>
          <w:color w:val="1F1F1F"/>
          <w:sz w:val="24"/>
        </w:rPr>
        <w:lastRenderedPageBreak/>
        <w:t>alternative scenarios and an assessment of the risk factors that may significantly affect the execution of the plan but that cannot be accurately</w:t>
      </w:r>
      <w:r>
        <w:rPr>
          <w:color w:val="1F1F1F"/>
          <w:spacing w:val="-5"/>
          <w:sz w:val="24"/>
        </w:rPr>
        <w:t xml:space="preserve"> </w:t>
      </w:r>
      <w:r>
        <w:rPr>
          <w:color w:val="1F1F1F"/>
          <w:sz w:val="24"/>
        </w:rPr>
        <w:t>forecast.</w:t>
      </w:r>
    </w:p>
    <w:p w14:paraId="396250FA" w14:textId="77777777" w:rsidR="007B48CC" w:rsidRDefault="007B48CC">
      <w:pPr>
        <w:pStyle w:val="BodyText"/>
        <w:rPr>
          <w:sz w:val="26"/>
        </w:rPr>
      </w:pPr>
    </w:p>
    <w:p w14:paraId="0BC969CE" w14:textId="77777777" w:rsidR="007B48CC" w:rsidRDefault="00E90905">
      <w:pPr>
        <w:pStyle w:val="Heading2"/>
        <w:spacing w:before="224"/>
      </w:pPr>
      <w:r>
        <w:t>Budgeting Procedures</w:t>
      </w:r>
    </w:p>
    <w:p w14:paraId="48ECB54A" w14:textId="77777777" w:rsidR="007B48CC" w:rsidRDefault="007B48CC">
      <w:pPr>
        <w:pStyle w:val="BodyText"/>
        <w:spacing w:before="1"/>
        <w:rPr>
          <w:b/>
          <w:sz w:val="21"/>
        </w:rPr>
      </w:pPr>
    </w:p>
    <w:p w14:paraId="3BF3AD3A" w14:textId="77777777" w:rsidR="007B48CC" w:rsidRDefault="00E90905">
      <w:pPr>
        <w:pStyle w:val="ListParagraph"/>
        <w:numPr>
          <w:ilvl w:val="1"/>
          <w:numId w:val="6"/>
        </w:numPr>
        <w:tabs>
          <w:tab w:val="left" w:pos="1167"/>
        </w:tabs>
        <w:spacing w:line="276" w:lineRule="auto"/>
        <w:ind w:left="1166" w:right="214" w:hanging="567"/>
        <w:jc w:val="both"/>
        <w:rPr>
          <w:sz w:val="24"/>
        </w:rPr>
      </w:pPr>
      <w:r>
        <w:rPr>
          <w:sz w:val="24"/>
        </w:rPr>
        <w:t>Each year, once the draft business plan and budget has been approved, DCLG will send to THO a formal statement of the annual budget</w:t>
      </w:r>
      <w:r>
        <w:rPr>
          <w:spacing w:val="-11"/>
          <w:sz w:val="24"/>
        </w:rPr>
        <w:t xml:space="preserve"> </w:t>
      </w:r>
      <w:r>
        <w:rPr>
          <w:sz w:val="24"/>
        </w:rPr>
        <w:t>allocation.</w:t>
      </w:r>
    </w:p>
    <w:p w14:paraId="0E495FA4" w14:textId="77777777" w:rsidR="007B48CC" w:rsidRDefault="00E90905">
      <w:pPr>
        <w:pStyle w:val="Heading2"/>
        <w:spacing w:before="198"/>
      </w:pPr>
      <w:r>
        <w:t>Grant-In-Aid and any Ring-Fenced Grants</w:t>
      </w:r>
    </w:p>
    <w:p w14:paraId="2FE6DAB0" w14:textId="77777777" w:rsidR="007B48CC" w:rsidRDefault="007B48CC">
      <w:pPr>
        <w:pStyle w:val="BodyText"/>
        <w:rPr>
          <w:b/>
          <w:sz w:val="26"/>
        </w:rPr>
      </w:pPr>
    </w:p>
    <w:p w14:paraId="4660700C" w14:textId="77777777" w:rsidR="007B48CC" w:rsidRDefault="007B48CC">
      <w:pPr>
        <w:pStyle w:val="BodyText"/>
        <w:spacing w:before="8"/>
        <w:rPr>
          <w:b/>
          <w:sz w:val="22"/>
        </w:rPr>
      </w:pPr>
    </w:p>
    <w:p w14:paraId="7CB75B97" w14:textId="77777777" w:rsidR="007B48CC" w:rsidRDefault="00E90905">
      <w:pPr>
        <w:pStyle w:val="ListParagraph"/>
        <w:numPr>
          <w:ilvl w:val="1"/>
          <w:numId w:val="6"/>
        </w:numPr>
        <w:tabs>
          <w:tab w:val="left" w:pos="1234"/>
        </w:tabs>
        <w:spacing w:line="276" w:lineRule="auto"/>
        <w:ind w:left="1166" w:right="214" w:hanging="567"/>
        <w:jc w:val="both"/>
        <w:rPr>
          <w:sz w:val="24"/>
        </w:rPr>
      </w:pPr>
      <w:r>
        <w:tab/>
      </w:r>
      <w:r>
        <w:rPr>
          <w:sz w:val="24"/>
        </w:rPr>
        <w:t>Any grant-in-aid provided by DCLG for the year in question will be voted in DCLG’s Supply Estimate and be subject to Parliamentary</w:t>
      </w:r>
      <w:r>
        <w:rPr>
          <w:spacing w:val="-15"/>
          <w:sz w:val="24"/>
        </w:rPr>
        <w:t xml:space="preserve"> </w:t>
      </w:r>
      <w:r>
        <w:rPr>
          <w:sz w:val="24"/>
        </w:rPr>
        <w:t>control.</w:t>
      </w:r>
    </w:p>
    <w:p w14:paraId="2141AAE4" w14:textId="77777777" w:rsidR="007B48CC" w:rsidRDefault="007B48CC">
      <w:pPr>
        <w:pStyle w:val="BodyText"/>
        <w:spacing w:before="7"/>
        <w:rPr>
          <w:sz w:val="27"/>
        </w:rPr>
      </w:pPr>
    </w:p>
    <w:p w14:paraId="6F45AA31" w14:textId="77777777" w:rsidR="007B48CC" w:rsidRDefault="00E90905">
      <w:pPr>
        <w:pStyle w:val="ListParagraph"/>
        <w:numPr>
          <w:ilvl w:val="1"/>
          <w:numId w:val="6"/>
        </w:numPr>
        <w:tabs>
          <w:tab w:val="left" w:pos="1167"/>
        </w:tabs>
        <w:spacing w:line="276" w:lineRule="auto"/>
        <w:ind w:left="1166" w:right="215" w:hanging="567"/>
        <w:jc w:val="both"/>
        <w:rPr>
          <w:sz w:val="24"/>
        </w:rPr>
      </w:pPr>
      <w:r>
        <w:rPr>
          <w:sz w:val="24"/>
        </w:rPr>
        <w:t>The grant-in-aid will normally be paid in monthly instalments on the basis of written applications showing evidence of need. THO will comply with the general principle that there is no payment in advance of need. Cash balances accumulated during the course of the year from grant-in-aid or other Exchequer funds shall be kept to a minimum level consistent with the efficient operation of THO. Grant-in-aid not drawn down by the end of the financial year shall lapse. Subject to approval by parliament of the relevant Estimates provision, where grant-in-aid is delayed to avoid excess cash balances at the year-end, DCLG will make available in the next financial year any such grant-in-aid that</w:t>
      </w:r>
      <w:r>
        <w:rPr>
          <w:spacing w:val="32"/>
          <w:sz w:val="24"/>
        </w:rPr>
        <w:t xml:space="preserve"> </w:t>
      </w:r>
      <w:r>
        <w:rPr>
          <w:sz w:val="24"/>
        </w:rPr>
        <w:t>is required to meet any liabilities at the year end, such as</w:t>
      </w:r>
      <w:r>
        <w:rPr>
          <w:spacing w:val="-11"/>
          <w:sz w:val="24"/>
        </w:rPr>
        <w:t xml:space="preserve"> </w:t>
      </w:r>
      <w:r>
        <w:rPr>
          <w:sz w:val="24"/>
        </w:rPr>
        <w:t>creditors.</w:t>
      </w:r>
    </w:p>
    <w:p w14:paraId="5E9F10EF" w14:textId="77777777" w:rsidR="007B48CC" w:rsidRDefault="007B48CC">
      <w:pPr>
        <w:pStyle w:val="BodyText"/>
        <w:spacing w:before="8"/>
        <w:rPr>
          <w:sz w:val="27"/>
        </w:rPr>
      </w:pPr>
    </w:p>
    <w:p w14:paraId="175999D6" w14:textId="77777777" w:rsidR="007B48CC" w:rsidRDefault="00E90905">
      <w:pPr>
        <w:pStyle w:val="ListParagraph"/>
        <w:numPr>
          <w:ilvl w:val="1"/>
          <w:numId w:val="6"/>
        </w:numPr>
        <w:tabs>
          <w:tab w:val="left" w:pos="1167"/>
        </w:tabs>
        <w:spacing w:before="1" w:line="276" w:lineRule="auto"/>
        <w:ind w:left="1166" w:right="214" w:hanging="567"/>
        <w:jc w:val="both"/>
        <w:rPr>
          <w:sz w:val="24"/>
        </w:rPr>
      </w:pPr>
      <w:r>
        <w:rPr>
          <w:sz w:val="24"/>
        </w:rPr>
        <w:t>In the event that DCLG provides THO separate grants for specific (ring-fenced) purposes, it will issue the grant as and when THO needs it on the basis of a written request. THO will provide evidence that the grant was used for the purposes authorised by DCLG. THO shall not have uncommitted grant funds in hand, nor carry grant funds over to another financial</w:t>
      </w:r>
      <w:r>
        <w:rPr>
          <w:spacing w:val="-10"/>
          <w:sz w:val="24"/>
        </w:rPr>
        <w:t xml:space="preserve"> </w:t>
      </w:r>
      <w:r>
        <w:rPr>
          <w:sz w:val="24"/>
        </w:rPr>
        <w:t>year.</w:t>
      </w:r>
    </w:p>
    <w:p w14:paraId="636F67A1" w14:textId="77777777" w:rsidR="007B48CC" w:rsidRDefault="007B48CC">
      <w:pPr>
        <w:pStyle w:val="BodyText"/>
        <w:rPr>
          <w:sz w:val="26"/>
        </w:rPr>
      </w:pPr>
    </w:p>
    <w:p w14:paraId="43E770DE" w14:textId="77777777" w:rsidR="007B48CC" w:rsidRDefault="00E90905">
      <w:pPr>
        <w:pStyle w:val="Heading2"/>
        <w:spacing w:before="217"/>
      </w:pPr>
      <w:r>
        <w:t>Reviewing and reporting Financial and Non-Financial Performance to DCLG</w:t>
      </w:r>
    </w:p>
    <w:p w14:paraId="20E1C546" w14:textId="77777777" w:rsidR="007B48CC" w:rsidRDefault="007B48CC">
      <w:pPr>
        <w:pStyle w:val="BodyText"/>
        <w:spacing w:before="1"/>
        <w:rPr>
          <w:b/>
          <w:sz w:val="21"/>
        </w:rPr>
      </w:pPr>
    </w:p>
    <w:p w14:paraId="1059D2FE" w14:textId="77777777" w:rsidR="007B48CC" w:rsidRDefault="00E90905">
      <w:pPr>
        <w:pStyle w:val="ListParagraph"/>
        <w:numPr>
          <w:ilvl w:val="1"/>
          <w:numId w:val="6"/>
        </w:numPr>
        <w:tabs>
          <w:tab w:val="left" w:pos="1234"/>
        </w:tabs>
        <w:spacing w:line="276" w:lineRule="auto"/>
        <w:ind w:left="1166" w:right="215" w:hanging="567"/>
        <w:jc w:val="both"/>
        <w:rPr>
          <w:sz w:val="24"/>
        </w:rPr>
      </w:pPr>
      <w:r>
        <w:tab/>
      </w:r>
      <w:r>
        <w:rPr>
          <w:sz w:val="24"/>
        </w:rPr>
        <w:t>THO shall operate management, information and accounting systems which enable THO to review in a timely and effective manner THO’s financial and non-financial performance against the budgets and targets set out in the corporate and business</w:t>
      </w:r>
      <w:r>
        <w:rPr>
          <w:spacing w:val="-1"/>
          <w:sz w:val="24"/>
        </w:rPr>
        <w:t xml:space="preserve"> </w:t>
      </w:r>
      <w:r>
        <w:rPr>
          <w:sz w:val="24"/>
        </w:rPr>
        <w:t>plans.</w:t>
      </w:r>
    </w:p>
    <w:p w14:paraId="61001577" w14:textId="77777777" w:rsidR="007B48CC" w:rsidRDefault="007B48CC">
      <w:pPr>
        <w:pStyle w:val="BodyText"/>
        <w:spacing w:before="6"/>
        <w:rPr>
          <w:sz w:val="27"/>
        </w:rPr>
      </w:pPr>
    </w:p>
    <w:p w14:paraId="5B44631A" w14:textId="77777777" w:rsidR="007B48CC" w:rsidRDefault="00E90905">
      <w:pPr>
        <w:pStyle w:val="ListParagraph"/>
        <w:numPr>
          <w:ilvl w:val="1"/>
          <w:numId w:val="6"/>
        </w:numPr>
        <w:tabs>
          <w:tab w:val="left" w:pos="1167"/>
        </w:tabs>
        <w:spacing w:line="276" w:lineRule="auto"/>
        <w:ind w:left="1166" w:right="218" w:hanging="567"/>
        <w:jc w:val="both"/>
        <w:rPr>
          <w:sz w:val="24"/>
        </w:rPr>
      </w:pPr>
      <w:r>
        <w:rPr>
          <w:sz w:val="24"/>
        </w:rPr>
        <w:t>THO shall inform DCLG of changes that make the achievement of objectives more or less difficult, or a change to the budget. THO shall regularly provide information on financial and non-financial performance, including performance relevant to Ministerial policy and the achievement of key</w:t>
      </w:r>
      <w:r>
        <w:rPr>
          <w:spacing w:val="-10"/>
          <w:sz w:val="24"/>
        </w:rPr>
        <w:t xml:space="preserve"> </w:t>
      </w:r>
      <w:r>
        <w:rPr>
          <w:sz w:val="24"/>
        </w:rPr>
        <w:t>objectives.</w:t>
      </w:r>
    </w:p>
    <w:p w14:paraId="699AB35C"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6EDFC53C" w14:textId="77777777" w:rsidR="007B48CC" w:rsidRDefault="00E90905">
      <w:pPr>
        <w:pStyle w:val="ListParagraph"/>
        <w:numPr>
          <w:ilvl w:val="1"/>
          <w:numId w:val="6"/>
        </w:numPr>
        <w:tabs>
          <w:tab w:val="left" w:pos="1167"/>
        </w:tabs>
        <w:spacing w:before="80"/>
        <w:ind w:left="1166" w:hanging="567"/>
        <w:rPr>
          <w:sz w:val="24"/>
        </w:rPr>
      </w:pPr>
      <w:r>
        <w:rPr>
          <w:sz w:val="24"/>
        </w:rPr>
        <w:lastRenderedPageBreak/>
        <w:t>THO’s performance shall be formally reviewed by the Department such</w:t>
      </w:r>
      <w:r>
        <w:rPr>
          <w:spacing w:val="-16"/>
          <w:sz w:val="24"/>
        </w:rPr>
        <w:t xml:space="preserve"> </w:t>
      </w:r>
      <w:r>
        <w:rPr>
          <w:sz w:val="24"/>
        </w:rPr>
        <w:t>as:</w:t>
      </w:r>
    </w:p>
    <w:p w14:paraId="199E6F75" w14:textId="77777777" w:rsidR="007B48CC" w:rsidRDefault="007B48CC">
      <w:pPr>
        <w:pStyle w:val="BodyText"/>
        <w:spacing w:before="10"/>
        <w:rPr>
          <w:sz w:val="30"/>
        </w:rPr>
      </w:pPr>
    </w:p>
    <w:p w14:paraId="6E269B44" w14:textId="77777777" w:rsidR="007B48CC" w:rsidRDefault="00E90905">
      <w:pPr>
        <w:pStyle w:val="ListParagraph"/>
        <w:numPr>
          <w:ilvl w:val="2"/>
          <w:numId w:val="6"/>
        </w:numPr>
        <w:tabs>
          <w:tab w:val="left" w:pos="1594"/>
        </w:tabs>
        <w:spacing w:before="1" w:line="273" w:lineRule="auto"/>
        <w:ind w:left="1594" w:right="228" w:hanging="428"/>
        <w:jc w:val="both"/>
        <w:rPr>
          <w:sz w:val="24"/>
        </w:rPr>
      </w:pPr>
      <w:r>
        <w:rPr>
          <w:sz w:val="24"/>
        </w:rPr>
        <w:t>The Ombudsman and the responsible minister may meet during the year to discuss the work of THO including performance.</w:t>
      </w:r>
    </w:p>
    <w:p w14:paraId="5A1F6FA5" w14:textId="77777777" w:rsidR="007B48CC" w:rsidRDefault="00E90905">
      <w:pPr>
        <w:pStyle w:val="ListParagraph"/>
        <w:numPr>
          <w:ilvl w:val="2"/>
          <w:numId w:val="6"/>
        </w:numPr>
        <w:tabs>
          <w:tab w:val="left" w:pos="1594"/>
        </w:tabs>
        <w:spacing w:before="3" w:line="273" w:lineRule="auto"/>
        <w:ind w:left="1593" w:right="215" w:hanging="428"/>
        <w:jc w:val="both"/>
        <w:rPr>
          <w:sz w:val="24"/>
        </w:rPr>
      </w:pPr>
      <w:r>
        <w:rPr>
          <w:sz w:val="24"/>
        </w:rPr>
        <w:t>The Ombudsman and Directors of Housing or Finance may meet on an ad hoc basis to discuss strategic developments and/or THO</w:t>
      </w:r>
      <w:r>
        <w:rPr>
          <w:spacing w:val="-10"/>
          <w:sz w:val="24"/>
        </w:rPr>
        <w:t xml:space="preserve"> </w:t>
      </w:r>
      <w:r>
        <w:rPr>
          <w:sz w:val="24"/>
        </w:rPr>
        <w:t>performance.</w:t>
      </w:r>
    </w:p>
    <w:p w14:paraId="030AF52C" w14:textId="77777777" w:rsidR="007B48CC" w:rsidRDefault="00E90905">
      <w:pPr>
        <w:pStyle w:val="ListParagraph"/>
        <w:numPr>
          <w:ilvl w:val="2"/>
          <w:numId w:val="6"/>
        </w:numPr>
        <w:tabs>
          <w:tab w:val="left" w:pos="1594"/>
        </w:tabs>
        <w:spacing w:line="276" w:lineRule="auto"/>
        <w:ind w:left="1593" w:right="213" w:hanging="428"/>
        <w:jc w:val="both"/>
        <w:rPr>
          <w:sz w:val="24"/>
        </w:rPr>
      </w:pPr>
      <w:r>
        <w:rPr>
          <w:sz w:val="24"/>
        </w:rPr>
        <w:t>The Ombudsman (Accounting Officer) and the Department’s Directors of Finance or Housing or ALB Partnerships Deputy Director and Policy Deputy Director will meet quarterly (Accounting Officer meetings) to review THO’s financial reports, achievement of its strategic objectives in the business plan, risk management and policy</w:t>
      </w:r>
      <w:r>
        <w:rPr>
          <w:spacing w:val="-7"/>
          <w:sz w:val="24"/>
        </w:rPr>
        <w:t xml:space="preserve"> </w:t>
      </w:r>
      <w:r>
        <w:rPr>
          <w:sz w:val="24"/>
        </w:rPr>
        <w:t>developments.</w:t>
      </w:r>
    </w:p>
    <w:p w14:paraId="566C3F7F" w14:textId="77777777" w:rsidR="007B48CC" w:rsidRDefault="007B48CC">
      <w:pPr>
        <w:pStyle w:val="BodyText"/>
        <w:spacing w:before="4"/>
        <w:rPr>
          <w:sz w:val="27"/>
        </w:rPr>
      </w:pPr>
    </w:p>
    <w:p w14:paraId="11CCD2EB" w14:textId="77777777" w:rsidR="007B48CC" w:rsidRDefault="00E90905">
      <w:pPr>
        <w:pStyle w:val="ListParagraph"/>
        <w:numPr>
          <w:ilvl w:val="1"/>
          <w:numId w:val="6"/>
        </w:numPr>
        <w:tabs>
          <w:tab w:val="left" w:pos="1167"/>
        </w:tabs>
        <w:spacing w:before="1" w:line="276" w:lineRule="auto"/>
        <w:ind w:left="1166" w:right="216" w:hanging="567"/>
        <w:jc w:val="both"/>
        <w:rPr>
          <w:sz w:val="24"/>
        </w:rPr>
      </w:pPr>
      <w:r>
        <w:rPr>
          <w:sz w:val="24"/>
        </w:rPr>
        <w:t>DCLG shall monitor THO’s cash management and provide forecast information to HM Treasury on a monthly basis. To facilitate this, THO is required to submit financial information to DCLG to a timetable, format and level of detail specified by DCLG. THO shall also provide quarterly performance data e.g.</w:t>
      </w:r>
      <w:r>
        <w:rPr>
          <w:spacing w:val="-18"/>
          <w:sz w:val="24"/>
        </w:rPr>
        <w:t xml:space="preserve"> </w:t>
      </w:r>
      <w:r>
        <w:rPr>
          <w:sz w:val="24"/>
        </w:rPr>
        <w:t>dashboards.</w:t>
      </w:r>
    </w:p>
    <w:p w14:paraId="79C43B70" w14:textId="77777777" w:rsidR="007B48CC" w:rsidRDefault="007B48CC">
      <w:pPr>
        <w:pStyle w:val="BodyText"/>
        <w:spacing w:before="6"/>
        <w:rPr>
          <w:sz w:val="27"/>
        </w:rPr>
      </w:pPr>
    </w:p>
    <w:p w14:paraId="78292F1F" w14:textId="77777777" w:rsidR="007B48CC" w:rsidRDefault="00E90905">
      <w:pPr>
        <w:pStyle w:val="Heading2"/>
      </w:pPr>
      <w:r>
        <w:t>Delegated</w:t>
      </w:r>
      <w:r>
        <w:rPr>
          <w:spacing w:val="-7"/>
        </w:rPr>
        <w:t xml:space="preserve"> </w:t>
      </w:r>
      <w:r>
        <w:t>Authorities</w:t>
      </w:r>
    </w:p>
    <w:p w14:paraId="5F01A6C8" w14:textId="77777777" w:rsidR="007B48CC" w:rsidRDefault="007B48CC">
      <w:pPr>
        <w:pStyle w:val="BodyText"/>
        <w:spacing w:before="3"/>
        <w:rPr>
          <w:b/>
          <w:sz w:val="31"/>
        </w:rPr>
      </w:pPr>
    </w:p>
    <w:p w14:paraId="5D681D7F" w14:textId="77777777" w:rsidR="007B48CC" w:rsidRDefault="00E90905">
      <w:pPr>
        <w:pStyle w:val="ListParagraph"/>
        <w:numPr>
          <w:ilvl w:val="1"/>
          <w:numId w:val="6"/>
        </w:numPr>
        <w:tabs>
          <w:tab w:val="left" w:pos="1308"/>
          <w:tab w:val="left" w:pos="1309"/>
        </w:tabs>
        <w:spacing w:before="1" w:line="276" w:lineRule="auto"/>
        <w:ind w:right="812"/>
        <w:rPr>
          <w:sz w:val="24"/>
        </w:rPr>
      </w:pPr>
      <w:r>
        <w:rPr>
          <w:sz w:val="24"/>
        </w:rPr>
        <w:t>THO’s delegated authorities are set out in Annex D and in the annual delegation letter.  THO shall obtain DCLG’s prior written approval</w:t>
      </w:r>
      <w:r>
        <w:rPr>
          <w:spacing w:val="-21"/>
          <w:sz w:val="24"/>
        </w:rPr>
        <w:t xml:space="preserve"> </w:t>
      </w:r>
      <w:r>
        <w:rPr>
          <w:sz w:val="24"/>
        </w:rPr>
        <w:t>before:</w:t>
      </w:r>
    </w:p>
    <w:p w14:paraId="7E407EFA" w14:textId="77777777" w:rsidR="007B48CC" w:rsidRDefault="00E90905">
      <w:pPr>
        <w:pStyle w:val="ListParagraph"/>
        <w:numPr>
          <w:ilvl w:val="0"/>
          <w:numId w:val="5"/>
        </w:numPr>
        <w:tabs>
          <w:tab w:val="left" w:pos="1677"/>
          <w:tab w:val="left" w:pos="1678"/>
        </w:tabs>
        <w:spacing w:line="276" w:lineRule="auto"/>
        <w:ind w:left="1677" w:right="236"/>
        <w:rPr>
          <w:sz w:val="24"/>
        </w:rPr>
      </w:pPr>
      <w:r>
        <w:rPr>
          <w:sz w:val="24"/>
        </w:rPr>
        <w:t>entering into any undertaking to incur any expenditure that falls outside the delegations or which is not provided for in THO’s annual budget as approved by</w:t>
      </w:r>
      <w:r>
        <w:rPr>
          <w:spacing w:val="-3"/>
          <w:sz w:val="24"/>
        </w:rPr>
        <w:t xml:space="preserve"> </w:t>
      </w:r>
      <w:r>
        <w:rPr>
          <w:sz w:val="24"/>
        </w:rPr>
        <w:t>DCLG;</w:t>
      </w:r>
    </w:p>
    <w:p w14:paraId="0B5447F7" w14:textId="77777777" w:rsidR="007B48CC" w:rsidRDefault="00E90905">
      <w:pPr>
        <w:pStyle w:val="ListParagraph"/>
        <w:numPr>
          <w:ilvl w:val="0"/>
          <w:numId w:val="5"/>
        </w:numPr>
        <w:tabs>
          <w:tab w:val="left" w:pos="1677"/>
          <w:tab w:val="left" w:pos="1678"/>
        </w:tabs>
        <w:spacing w:line="276" w:lineRule="auto"/>
        <w:ind w:right="338"/>
        <w:rPr>
          <w:sz w:val="24"/>
        </w:rPr>
      </w:pPr>
      <w:r>
        <w:rPr>
          <w:sz w:val="24"/>
        </w:rPr>
        <w:t>incurring expenditure for any purpose that is or might be considered novel or contentious, or which has or could have significant future cost implications;</w:t>
      </w:r>
    </w:p>
    <w:p w14:paraId="3B598E0C" w14:textId="77777777" w:rsidR="007B48CC" w:rsidRDefault="00E90905">
      <w:pPr>
        <w:pStyle w:val="ListParagraph"/>
        <w:numPr>
          <w:ilvl w:val="0"/>
          <w:numId w:val="5"/>
        </w:numPr>
        <w:tabs>
          <w:tab w:val="left" w:pos="1677"/>
          <w:tab w:val="left" w:pos="1678"/>
        </w:tabs>
        <w:spacing w:line="276" w:lineRule="auto"/>
        <w:ind w:right="482"/>
        <w:rPr>
          <w:sz w:val="24"/>
        </w:rPr>
      </w:pPr>
      <w:r>
        <w:rPr>
          <w:sz w:val="24"/>
        </w:rPr>
        <w:t>making any significant change in the scale of operation or funding of any initiative or particular scheme previously approved by</w:t>
      </w:r>
      <w:r>
        <w:rPr>
          <w:spacing w:val="-4"/>
          <w:sz w:val="24"/>
        </w:rPr>
        <w:t xml:space="preserve"> </w:t>
      </w:r>
      <w:r>
        <w:rPr>
          <w:sz w:val="24"/>
        </w:rPr>
        <w:t>DCLG;</w:t>
      </w:r>
    </w:p>
    <w:p w14:paraId="75AB287D" w14:textId="77777777" w:rsidR="007B48CC" w:rsidRDefault="00E90905">
      <w:pPr>
        <w:pStyle w:val="ListParagraph"/>
        <w:numPr>
          <w:ilvl w:val="0"/>
          <w:numId w:val="5"/>
        </w:numPr>
        <w:tabs>
          <w:tab w:val="left" w:pos="1677"/>
          <w:tab w:val="left" w:pos="1678"/>
        </w:tabs>
        <w:spacing w:line="276" w:lineRule="auto"/>
        <w:ind w:right="776"/>
        <w:rPr>
          <w:sz w:val="24"/>
        </w:rPr>
      </w:pPr>
      <w:r>
        <w:rPr>
          <w:sz w:val="24"/>
        </w:rPr>
        <w:t>making any change of policy or practice which has wider financial implications that might prove repercussive or which might significantly affect the future level of resources required;</w:t>
      </w:r>
      <w:r>
        <w:rPr>
          <w:spacing w:val="-5"/>
          <w:sz w:val="24"/>
        </w:rPr>
        <w:t xml:space="preserve"> </w:t>
      </w:r>
      <w:r>
        <w:rPr>
          <w:sz w:val="24"/>
        </w:rPr>
        <w:t>or</w:t>
      </w:r>
    </w:p>
    <w:p w14:paraId="423D4436" w14:textId="77777777" w:rsidR="007B48CC" w:rsidRDefault="00E90905">
      <w:pPr>
        <w:pStyle w:val="ListParagraph"/>
        <w:numPr>
          <w:ilvl w:val="0"/>
          <w:numId w:val="5"/>
        </w:numPr>
        <w:tabs>
          <w:tab w:val="left" w:pos="1677"/>
          <w:tab w:val="left" w:pos="1678"/>
        </w:tabs>
        <w:spacing w:line="273" w:lineRule="auto"/>
        <w:ind w:right="699"/>
        <w:rPr>
          <w:i/>
          <w:sz w:val="24"/>
        </w:rPr>
      </w:pPr>
      <w:r>
        <w:rPr>
          <w:sz w:val="24"/>
        </w:rPr>
        <w:t>carrying out policies that go against the principles, rules, guidance</w:t>
      </w:r>
      <w:r>
        <w:rPr>
          <w:spacing w:val="-26"/>
          <w:sz w:val="24"/>
        </w:rPr>
        <w:t xml:space="preserve"> </w:t>
      </w:r>
      <w:r>
        <w:rPr>
          <w:sz w:val="24"/>
        </w:rPr>
        <w:t xml:space="preserve">and advice in </w:t>
      </w:r>
      <w:r>
        <w:rPr>
          <w:i/>
          <w:sz w:val="24"/>
        </w:rPr>
        <w:t>Managing Public</w:t>
      </w:r>
      <w:r>
        <w:rPr>
          <w:i/>
          <w:spacing w:val="-1"/>
          <w:sz w:val="24"/>
        </w:rPr>
        <w:t xml:space="preserve"> </w:t>
      </w:r>
      <w:r>
        <w:rPr>
          <w:i/>
          <w:sz w:val="24"/>
        </w:rPr>
        <w:t>Money.</w:t>
      </w:r>
    </w:p>
    <w:p w14:paraId="436EAEBF" w14:textId="77777777" w:rsidR="007B48CC" w:rsidRDefault="007B48CC">
      <w:pPr>
        <w:pStyle w:val="BodyText"/>
        <w:spacing w:before="2"/>
        <w:rPr>
          <w:i/>
          <w:sz w:val="28"/>
        </w:rPr>
      </w:pPr>
    </w:p>
    <w:p w14:paraId="0832BB25" w14:textId="77777777" w:rsidR="007B48CC" w:rsidRDefault="00E90905">
      <w:pPr>
        <w:pStyle w:val="Heading2"/>
      </w:pPr>
      <w:r>
        <w:t>Transparency</w:t>
      </w:r>
    </w:p>
    <w:p w14:paraId="1D42212F" w14:textId="77777777" w:rsidR="007B48CC" w:rsidRDefault="007B48CC">
      <w:pPr>
        <w:pStyle w:val="BodyText"/>
        <w:spacing w:before="1"/>
        <w:rPr>
          <w:b/>
          <w:sz w:val="31"/>
        </w:rPr>
      </w:pPr>
    </w:p>
    <w:p w14:paraId="0CFFB808" w14:textId="77777777" w:rsidR="007B48CC" w:rsidRDefault="00E90905">
      <w:pPr>
        <w:pStyle w:val="ListParagraph"/>
        <w:numPr>
          <w:ilvl w:val="1"/>
          <w:numId w:val="6"/>
        </w:numPr>
        <w:tabs>
          <w:tab w:val="left" w:pos="1308"/>
          <w:tab w:val="left" w:pos="1309"/>
        </w:tabs>
        <w:spacing w:line="276" w:lineRule="auto"/>
        <w:ind w:right="316"/>
        <w:rPr>
          <w:sz w:val="24"/>
        </w:rPr>
      </w:pPr>
      <w:r>
        <w:rPr>
          <w:sz w:val="24"/>
        </w:rPr>
        <w:t>THO follows the Transparency Code on data, including making data available to the public in line with the DCLG Spending Controls</w:t>
      </w:r>
      <w:r>
        <w:rPr>
          <w:spacing w:val="-3"/>
          <w:sz w:val="24"/>
        </w:rPr>
        <w:t xml:space="preserve"> </w:t>
      </w:r>
      <w:r>
        <w:rPr>
          <w:sz w:val="24"/>
        </w:rPr>
        <w:t>guidance.</w:t>
      </w:r>
    </w:p>
    <w:p w14:paraId="4943C7F9" w14:textId="77777777" w:rsidR="007B48CC" w:rsidRDefault="007B48CC">
      <w:pPr>
        <w:spacing w:line="276" w:lineRule="auto"/>
        <w:rPr>
          <w:sz w:val="24"/>
        </w:rPr>
        <w:sectPr w:rsidR="007B48CC">
          <w:pgSz w:w="11910" w:h="16840"/>
          <w:pgMar w:top="1340" w:right="1220" w:bottom="1240" w:left="840" w:header="0" w:footer="1054" w:gutter="0"/>
          <w:cols w:space="720"/>
        </w:sectPr>
      </w:pPr>
    </w:p>
    <w:p w14:paraId="485B76B8" w14:textId="77777777" w:rsidR="007B48CC" w:rsidRDefault="00E90905">
      <w:pPr>
        <w:pStyle w:val="Heading1"/>
        <w:numPr>
          <w:ilvl w:val="0"/>
          <w:numId w:val="13"/>
        </w:numPr>
        <w:tabs>
          <w:tab w:val="left" w:pos="1320"/>
          <w:tab w:val="left" w:pos="1321"/>
        </w:tabs>
        <w:ind w:left="1320" w:hanging="721"/>
      </w:pPr>
      <w:r>
        <w:lastRenderedPageBreak/>
        <w:t>Arrangements for Review</w:t>
      </w:r>
    </w:p>
    <w:p w14:paraId="77E653D2" w14:textId="77777777" w:rsidR="007B48CC" w:rsidRDefault="007B48CC">
      <w:pPr>
        <w:pStyle w:val="BodyText"/>
        <w:rPr>
          <w:b/>
          <w:sz w:val="36"/>
        </w:rPr>
      </w:pPr>
    </w:p>
    <w:p w14:paraId="5A2A9D78" w14:textId="77777777" w:rsidR="007B48CC" w:rsidRDefault="00E90905">
      <w:pPr>
        <w:pStyle w:val="ListParagraph"/>
        <w:numPr>
          <w:ilvl w:val="1"/>
          <w:numId w:val="13"/>
        </w:numPr>
        <w:tabs>
          <w:tab w:val="left" w:pos="1167"/>
        </w:tabs>
        <w:spacing w:before="267" w:line="276" w:lineRule="auto"/>
        <w:ind w:right="215"/>
        <w:jc w:val="both"/>
        <w:rPr>
          <w:sz w:val="24"/>
        </w:rPr>
      </w:pPr>
      <w:r>
        <w:rPr>
          <w:sz w:val="24"/>
        </w:rPr>
        <w:t>THO will be reviewed at least once in the lifetime of a Parliament in line with Cabinet Office guidance. The next review of THO will be completed by September 2019.</w:t>
      </w:r>
    </w:p>
    <w:p w14:paraId="2FE7D9F0" w14:textId="77777777" w:rsidR="007B48CC" w:rsidRDefault="007B48CC">
      <w:pPr>
        <w:pStyle w:val="BodyText"/>
        <w:spacing w:before="7"/>
        <w:rPr>
          <w:sz w:val="27"/>
        </w:rPr>
      </w:pPr>
    </w:p>
    <w:p w14:paraId="6CA0A1C1" w14:textId="77777777" w:rsidR="007B48CC" w:rsidRDefault="00E90905">
      <w:pPr>
        <w:pStyle w:val="ListParagraph"/>
        <w:numPr>
          <w:ilvl w:val="1"/>
          <w:numId w:val="13"/>
        </w:numPr>
        <w:tabs>
          <w:tab w:val="left" w:pos="1167"/>
        </w:tabs>
        <w:spacing w:line="276" w:lineRule="auto"/>
        <w:ind w:right="214"/>
        <w:jc w:val="both"/>
        <w:rPr>
          <w:sz w:val="24"/>
        </w:rPr>
      </w:pPr>
      <w:r>
        <w:rPr>
          <w:sz w:val="24"/>
        </w:rPr>
        <w:t>In the event that THO is wound up, DCLG shall put in place arrangements to ensure the orderly dissolution of THO. In particular, it should ensure that the assets and liabilities of THO are passed to any successor organisation and accounted for properly. (In the event that there is no successor organisation, the assets and liabilities should revert to DCLG.) To this end, DCLG</w:t>
      </w:r>
      <w:r>
        <w:rPr>
          <w:spacing w:val="-10"/>
          <w:sz w:val="24"/>
        </w:rPr>
        <w:t xml:space="preserve"> </w:t>
      </w:r>
      <w:r>
        <w:rPr>
          <w:sz w:val="24"/>
        </w:rPr>
        <w:t>shall:</w:t>
      </w:r>
    </w:p>
    <w:p w14:paraId="696A5396" w14:textId="77777777" w:rsidR="007B48CC" w:rsidRDefault="007B48CC">
      <w:pPr>
        <w:pStyle w:val="BodyText"/>
        <w:spacing w:before="7"/>
        <w:rPr>
          <w:sz w:val="27"/>
        </w:rPr>
      </w:pPr>
    </w:p>
    <w:p w14:paraId="2F157FAE" w14:textId="77777777" w:rsidR="007B48CC" w:rsidRDefault="00E90905">
      <w:pPr>
        <w:pStyle w:val="ListParagraph"/>
        <w:numPr>
          <w:ilvl w:val="0"/>
          <w:numId w:val="4"/>
        </w:numPr>
        <w:tabs>
          <w:tab w:val="left" w:pos="1734"/>
        </w:tabs>
        <w:spacing w:line="276" w:lineRule="auto"/>
        <w:ind w:right="220"/>
        <w:jc w:val="both"/>
        <w:rPr>
          <w:sz w:val="24"/>
        </w:rPr>
      </w:pPr>
      <w:r>
        <w:rPr>
          <w:sz w:val="24"/>
        </w:rPr>
        <w:t>ensure that procedures are in place in THO to gain independent assurance on key transactions, financial commitments, cash flows and other information needed to handle the wind-up effectively and to maintain the momentum of work inherited by any residuary</w:t>
      </w:r>
      <w:r>
        <w:rPr>
          <w:spacing w:val="-14"/>
          <w:sz w:val="24"/>
        </w:rPr>
        <w:t xml:space="preserve"> </w:t>
      </w:r>
      <w:r>
        <w:rPr>
          <w:sz w:val="24"/>
        </w:rPr>
        <w:t>body;</w:t>
      </w:r>
    </w:p>
    <w:p w14:paraId="66CFF60C" w14:textId="77777777" w:rsidR="007B48CC" w:rsidRDefault="00E90905">
      <w:pPr>
        <w:pStyle w:val="ListParagraph"/>
        <w:numPr>
          <w:ilvl w:val="0"/>
          <w:numId w:val="4"/>
        </w:numPr>
        <w:tabs>
          <w:tab w:val="left" w:pos="1734"/>
        </w:tabs>
        <w:spacing w:line="278" w:lineRule="auto"/>
        <w:ind w:right="222"/>
        <w:jc w:val="both"/>
        <w:rPr>
          <w:sz w:val="24"/>
        </w:rPr>
      </w:pPr>
      <w:r>
        <w:rPr>
          <w:sz w:val="24"/>
        </w:rPr>
        <w:t>specify the basis for the valuation and accounting treatment of THO’s assets and</w:t>
      </w:r>
      <w:r>
        <w:rPr>
          <w:spacing w:val="-4"/>
          <w:sz w:val="24"/>
        </w:rPr>
        <w:t xml:space="preserve"> </w:t>
      </w:r>
      <w:r>
        <w:rPr>
          <w:sz w:val="24"/>
        </w:rPr>
        <w:t>liabilities;</w:t>
      </w:r>
    </w:p>
    <w:p w14:paraId="531F2145" w14:textId="77777777" w:rsidR="007B48CC" w:rsidRDefault="00E90905">
      <w:pPr>
        <w:pStyle w:val="ListParagraph"/>
        <w:numPr>
          <w:ilvl w:val="0"/>
          <w:numId w:val="4"/>
        </w:numPr>
        <w:tabs>
          <w:tab w:val="left" w:pos="1734"/>
        </w:tabs>
        <w:spacing w:line="276" w:lineRule="auto"/>
        <w:ind w:right="216"/>
        <w:jc w:val="both"/>
        <w:rPr>
          <w:sz w:val="24"/>
        </w:rPr>
      </w:pPr>
      <w:r>
        <w:rPr>
          <w:sz w:val="24"/>
        </w:rPr>
        <w:t>ensure that arrangements are in place to prepare closing accounts and pass to the C&amp;AG for external audit, and that, for non-Crown bodies funds are in place to pay for such audits. It shall be for the C&amp;AG to lay the final accounts in Parliament, together with his report on the accounts;</w:t>
      </w:r>
      <w:r>
        <w:rPr>
          <w:spacing w:val="-10"/>
          <w:sz w:val="24"/>
        </w:rPr>
        <w:t xml:space="preserve"> </w:t>
      </w:r>
      <w:r>
        <w:rPr>
          <w:sz w:val="24"/>
        </w:rPr>
        <w:t>and</w:t>
      </w:r>
    </w:p>
    <w:p w14:paraId="6C4C3805" w14:textId="77777777" w:rsidR="007B48CC" w:rsidRDefault="00E90905">
      <w:pPr>
        <w:pStyle w:val="ListParagraph"/>
        <w:numPr>
          <w:ilvl w:val="0"/>
          <w:numId w:val="4"/>
        </w:numPr>
        <w:tabs>
          <w:tab w:val="left" w:pos="1734"/>
        </w:tabs>
        <w:spacing w:line="276" w:lineRule="auto"/>
        <w:ind w:right="217"/>
        <w:jc w:val="both"/>
        <w:rPr>
          <w:sz w:val="24"/>
        </w:rPr>
      </w:pPr>
      <w:r>
        <w:rPr>
          <w:sz w:val="24"/>
        </w:rPr>
        <w:t>arrange for the most appropriate person to sign the closing accounts. In the event that another ALB takes on the role, responsibilities, assets and liabilities, the succeeding ALB AO should sign the closing accounts. In the event that DCLG inherits the role, responsibilities, assets and liabilities, DCLG’s AO should</w:t>
      </w:r>
      <w:r>
        <w:rPr>
          <w:spacing w:val="-1"/>
          <w:sz w:val="24"/>
        </w:rPr>
        <w:t xml:space="preserve"> </w:t>
      </w:r>
      <w:r>
        <w:rPr>
          <w:sz w:val="24"/>
        </w:rPr>
        <w:t>sign.</w:t>
      </w:r>
    </w:p>
    <w:p w14:paraId="430DFD7F" w14:textId="77777777" w:rsidR="007B48CC" w:rsidRDefault="007B48CC">
      <w:pPr>
        <w:spacing w:line="276" w:lineRule="auto"/>
        <w:jc w:val="both"/>
        <w:rPr>
          <w:sz w:val="24"/>
        </w:rPr>
        <w:sectPr w:rsidR="007B48CC">
          <w:pgSz w:w="11910" w:h="16840"/>
          <w:pgMar w:top="1340" w:right="1220" w:bottom="1240" w:left="840" w:header="0" w:footer="1054" w:gutter="0"/>
          <w:cols w:space="720"/>
        </w:sectPr>
      </w:pPr>
    </w:p>
    <w:p w14:paraId="0AC2B759" w14:textId="77777777" w:rsidR="007B48CC" w:rsidRDefault="00E90905">
      <w:pPr>
        <w:pStyle w:val="Heading1"/>
      </w:pPr>
      <w:r>
        <w:lastRenderedPageBreak/>
        <w:t>Annex A</w:t>
      </w:r>
    </w:p>
    <w:p w14:paraId="70D76736" w14:textId="77777777" w:rsidR="00344193" w:rsidRDefault="00344193" w:rsidP="00344193">
      <w:pPr>
        <w:spacing w:before="256"/>
        <w:ind w:left="600"/>
        <w:rPr>
          <w:b/>
          <w:sz w:val="32"/>
        </w:rPr>
      </w:pPr>
      <w:r>
        <w:rPr>
          <w:b/>
          <w:color w:val="1F1F1F"/>
          <w:sz w:val="32"/>
        </w:rPr>
        <w:t>Audit and Risk Assurance Committee Terms of Reference</w:t>
      </w:r>
    </w:p>
    <w:p w14:paraId="129F64B4" w14:textId="77777777" w:rsidR="00344193" w:rsidRDefault="00344193" w:rsidP="00344193">
      <w:pPr>
        <w:pStyle w:val="BodyText"/>
        <w:spacing w:before="256"/>
        <w:ind w:left="600"/>
      </w:pPr>
      <w:r>
        <w:rPr>
          <w:color w:val="232323"/>
          <w:u w:val="single" w:color="232323"/>
        </w:rPr>
        <w:t>Role of the ARAC</w:t>
      </w:r>
    </w:p>
    <w:p w14:paraId="07E6F807" w14:textId="77777777" w:rsidR="00344193" w:rsidRDefault="00344193" w:rsidP="00344193">
      <w:pPr>
        <w:pStyle w:val="BodyText"/>
        <w:spacing w:before="4"/>
        <w:rPr>
          <w:sz w:val="23"/>
        </w:rPr>
      </w:pPr>
    </w:p>
    <w:p w14:paraId="42C5E595" w14:textId="77777777" w:rsidR="00344193" w:rsidRDefault="00344193" w:rsidP="00344193">
      <w:pPr>
        <w:pStyle w:val="BodyText"/>
        <w:spacing w:before="92" w:line="276" w:lineRule="auto"/>
        <w:ind w:left="600" w:right="226"/>
      </w:pPr>
      <w:r>
        <w:rPr>
          <w:color w:val="1F1F1F"/>
        </w:rPr>
        <w:t>THO will use the ARAC to help him or her in his or her responsibility for issues of risk control and governance, reviewing the comprehensiveness of assurances in meeting his or her assurance needs and reviewing the reliability and integrity of these assurances.</w:t>
      </w:r>
    </w:p>
    <w:p w14:paraId="3D055215" w14:textId="77777777" w:rsidR="00344193" w:rsidRDefault="00344193" w:rsidP="00344193">
      <w:pPr>
        <w:pStyle w:val="BodyText"/>
        <w:spacing w:before="7"/>
        <w:rPr>
          <w:sz w:val="27"/>
        </w:rPr>
      </w:pPr>
    </w:p>
    <w:p w14:paraId="102AB803" w14:textId="77777777" w:rsidR="00344193" w:rsidRDefault="00344193" w:rsidP="00344193">
      <w:pPr>
        <w:pStyle w:val="BodyText"/>
        <w:ind w:left="600"/>
      </w:pPr>
      <w:r>
        <w:rPr>
          <w:u w:val="single"/>
        </w:rPr>
        <w:t>Membership</w:t>
      </w:r>
    </w:p>
    <w:p w14:paraId="51E21066" w14:textId="77777777" w:rsidR="00344193" w:rsidRDefault="00344193" w:rsidP="00344193">
      <w:pPr>
        <w:pStyle w:val="BodyText"/>
        <w:spacing w:before="1"/>
        <w:rPr>
          <w:sz w:val="21"/>
        </w:rPr>
      </w:pPr>
    </w:p>
    <w:p w14:paraId="689BF391" w14:textId="77777777" w:rsidR="00344193" w:rsidRDefault="00344193" w:rsidP="00344193">
      <w:pPr>
        <w:pStyle w:val="BodyText"/>
        <w:spacing w:line="276" w:lineRule="auto"/>
        <w:ind w:left="600" w:right="393"/>
      </w:pPr>
      <w:r>
        <w:t>The ARAC shall comprise at least four people who are not members of THO's staff, one of whom will chair the Committee.</w:t>
      </w:r>
    </w:p>
    <w:p w14:paraId="41DBEBB3" w14:textId="77777777" w:rsidR="00344193" w:rsidRDefault="00344193" w:rsidP="00344193">
      <w:pPr>
        <w:pStyle w:val="BodyText"/>
        <w:spacing w:before="198" w:line="276" w:lineRule="auto"/>
        <w:ind w:left="600" w:right="279"/>
      </w:pPr>
      <w:r>
        <w:t>The members of the ARAC will be appointed by THO following an open and transparent selection process which will involve MHCLG Finance  representation on the interview panel. The appointments, including the selection of the Chair, will be subject to the approval of the Secretary of State. Appointments will be for three years and may be extended once. Any reappointments will be agreed with MHCLG. The Chair of the ARAC will be involved in the appointment of new committee members and reappointment of existing members.</w:t>
      </w:r>
    </w:p>
    <w:p w14:paraId="2CEE0CB1" w14:textId="77777777" w:rsidR="00344193" w:rsidRDefault="00344193" w:rsidP="00344193">
      <w:pPr>
        <w:pStyle w:val="BodyText"/>
        <w:spacing w:before="200" w:line="278" w:lineRule="auto"/>
        <w:ind w:left="600" w:right="239"/>
      </w:pPr>
      <w:r>
        <w:t>THO will not be a member of the ARAC but will attend its meetings. The ARAC is not a legally separate entity from THO.</w:t>
      </w:r>
    </w:p>
    <w:p w14:paraId="4369B3E6" w14:textId="77777777" w:rsidR="00344193" w:rsidRDefault="00344193" w:rsidP="00344193">
      <w:pPr>
        <w:pStyle w:val="BodyText"/>
        <w:spacing w:before="195"/>
        <w:ind w:left="600"/>
      </w:pPr>
      <w:r>
        <w:t>The ARAC will be provided with a secretariat function.</w:t>
      </w:r>
    </w:p>
    <w:p w14:paraId="492750FA" w14:textId="77777777" w:rsidR="00344193" w:rsidRDefault="00344193" w:rsidP="00344193">
      <w:pPr>
        <w:pStyle w:val="BodyText"/>
        <w:spacing w:before="1"/>
        <w:rPr>
          <w:sz w:val="21"/>
        </w:rPr>
      </w:pPr>
    </w:p>
    <w:p w14:paraId="045A592C" w14:textId="77777777" w:rsidR="00344193" w:rsidRDefault="00344193" w:rsidP="00344193">
      <w:pPr>
        <w:pStyle w:val="BodyText"/>
        <w:ind w:left="600"/>
      </w:pPr>
      <w:r>
        <w:rPr>
          <w:color w:val="242424"/>
        </w:rPr>
        <w:t>Members of the ARAC will act in accordance with the principles of the Cabinet</w:t>
      </w:r>
    </w:p>
    <w:p w14:paraId="191B9200" w14:textId="77777777" w:rsidR="00344193" w:rsidRDefault="00344193" w:rsidP="00344193">
      <w:pPr>
        <w:pStyle w:val="BodyText"/>
        <w:spacing w:before="41" w:line="276" w:lineRule="auto"/>
        <w:ind w:left="600" w:right="291"/>
      </w:pPr>
      <w:r>
        <w:rPr>
          <w:color w:val="242424"/>
        </w:rPr>
        <w:t>Office’s Code of Conduct for Board Members of Public Bodies. Members will also uphold the seven principles of the Committee on Standards in Public Life’s guidance (the Nolan Principles), namely:</w:t>
      </w:r>
    </w:p>
    <w:p w14:paraId="51BCD980" w14:textId="77777777" w:rsidR="00344193" w:rsidRDefault="00344193" w:rsidP="00344193">
      <w:pPr>
        <w:pStyle w:val="BodyText"/>
        <w:spacing w:before="8"/>
        <w:rPr>
          <w:sz w:val="27"/>
        </w:rPr>
      </w:pPr>
    </w:p>
    <w:p w14:paraId="54F0D2A0" w14:textId="77777777" w:rsidR="00344193" w:rsidRDefault="00344193" w:rsidP="00344193">
      <w:pPr>
        <w:pStyle w:val="ListParagraph"/>
        <w:numPr>
          <w:ilvl w:val="0"/>
          <w:numId w:val="3"/>
        </w:numPr>
        <w:tabs>
          <w:tab w:val="left" w:pos="1321"/>
        </w:tabs>
        <w:ind w:hanging="361"/>
        <w:rPr>
          <w:sz w:val="24"/>
        </w:rPr>
      </w:pPr>
      <w:r>
        <w:rPr>
          <w:color w:val="242424"/>
          <w:sz w:val="24"/>
        </w:rPr>
        <w:t>Selflessness</w:t>
      </w:r>
    </w:p>
    <w:p w14:paraId="35CD16C6" w14:textId="77777777" w:rsidR="00344193" w:rsidRDefault="00344193" w:rsidP="00344193">
      <w:pPr>
        <w:pStyle w:val="ListParagraph"/>
        <w:numPr>
          <w:ilvl w:val="0"/>
          <w:numId w:val="3"/>
        </w:numPr>
        <w:tabs>
          <w:tab w:val="left" w:pos="1321"/>
        </w:tabs>
        <w:spacing w:before="41"/>
        <w:ind w:hanging="361"/>
        <w:rPr>
          <w:sz w:val="24"/>
        </w:rPr>
      </w:pPr>
      <w:r>
        <w:rPr>
          <w:color w:val="242424"/>
          <w:sz w:val="24"/>
        </w:rPr>
        <w:t>Integrity</w:t>
      </w:r>
    </w:p>
    <w:p w14:paraId="17EF6AD2" w14:textId="77777777" w:rsidR="00344193" w:rsidRDefault="00344193" w:rsidP="00344193">
      <w:pPr>
        <w:pStyle w:val="ListParagraph"/>
        <w:numPr>
          <w:ilvl w:val="0"/>
          <w:numId w:val="3"/>
        </w:numPr>
        <w:tabs>
          <w:tab w:val="left" w:pos="1321"/>
        </w:tabs>
        <w:spacing w:before="40"/>
        <w:ind w:hanging="361"/>
        <w:rPr>
          <w:sz w:val="24"/>
        </w:rPr>
      </w:pPr>
      <w:r>
        <w:rPr>
          <w:color w:val="242424"/>
          <w:sz w:val="24"/>
        </w:rPr>
        <w:t>Objectivity</w:t>
      </w:r>
    </w:p>
    <w:p w14:paraId="56E1B94D" w14:textId="77777777" w:rsidR="00344193" w:rsidRDefault="00344193" w:rsidP="00344193">
      <w:pPr>
        <w:pStyle w:val="ListParagraph"/>
        <w:numPr>
          <w:ilvl w:val="0"/>
          <w:numId w:val="3"/>
        </w:numPr>
        <w:tabs>
          <w:tab w:val="left" w:pos="1321"/>
        </w:tabs>
        <w:spacing w:before="44"/>
        <w:ind w:hanging="361"/>
        <w:rPr>
          <w:sz w:val="24"/>
        </w:rPr>
      </w:pPr>
      <w:r>
        <w:rPr>
          <w:sz w:val="24"/>
        </w:rPr>
        <w:t>Accountability</w:t>
      </w:r>
    </w:p>
    <w:p w14:paraId="2C8EB5F6" w14:textId="77777777" w:rsidR="00344193" w:rsidRDefault="00344193" w:rsidP="00344193">
      <w:pPr>
        <w:pStyle w:val="ListParagraph"/>
        <w:numPr>
          <w:ilvl w:val="0"/>
          <w:numId w:val="3"/>
        </w:numPr>
        <w:tabs>
          <w:tab w:val="left" w:pos="1321"/>
        </w:tabs>
        <w:spacing w:before="40"/>
        <w:ind w:hanging="361"/>
        <w:rPr>
          <w:sz w:val="24"/>
        </w:rPr>
      </w:pPr>
      <w:r>
        <w:rPr>
          <w:sz w:val="24"/>
        </w:rPr>
        <w:t>Openness</w:t>
      </w:r>
    </w:p>
    <w:p w14:paraId="79E762EC" w14:textId="77777777" w:rsidR="00344193" w:rsidRDefault="00344193" w:rsidP="00344193">
      <w:pPr>
        <w:pStyle w:val="ListParagraph"/>
        <w:numPr>
          <w:ilvl w:val="0"/>
          <w:numId w:val="3"/>
        </w:numPr>
        <w:tabs>
          <w:tab w:val="left" w:pos="1321"/>
        </w:tabs>
        <w:spacing w:before="41"/>
        <w:ind w:hanging="361"/>
        <w:rPr>
          <w:sz w:val="24"/>
        </w:rPr>
      </w:pPr>
      <w:r>
        <w:rPr>
          <w:sz w:val="24"/>
        </w:rPr>
        <w:t>Honesty</w:t>
      </w:r>
    </w:p>
    <w:p w14:paraId="3CCAFFA8" w14:textId="77777777" w:rsidR="00344193" w:rsidRDefault="00344193" w:rsidP="00344193">
      <w:pPr>
        <w:pStyle w:val="ListParagraph"/>
        <w:numPr>
          <w:ilvl w:val="0"/>
          <w:numId w:val="3"/>
        </w:numPr>
        <w:tabs>
          <w:tab w:val="left" w:pos="1321"/>
        </w:tabs>
        <w:spacing w:before="41"/>
        <w:ind w:hanging="361"/>
        <w:rPr>
          <w:sz w:val="24"/>
        </w:rPr>
      </w:pPr>
      <w:r>
        <w:rPr>
          <w:sz w:val="24"/>
        </w:rPr>
        <w:t>Leadership.</w:t>
      </w:r>
    </w:p>
    <w:p w14:paraId="52BE96B0" w14:textId="77777777" w:rsidR="00344193" w:rsidRDefault="00344193" w:rsidP="00344193">
      <w:pPr>
        <w:pStyle w:val="BodyText"/>
        <w:spacing w:before="4"/>
        <w:rPr>
          <w:sz w:val="31"/>
        </w:rPr>
      </w:pPr>
    </w:p>
    <w:p w14:paraId="74A7C2CA" w14:textId="77777777" w:rsidR="00344193" w:rsidRDefault="00344193" w:rsidP="00344193">
      <w:pPr>
        <w:pStyle w:val="BodyText"/>
        <w:spacing w:line="276" w:lineRule="auto"/>
        <w:ind w:left="600" w:right="279"/>
      </w:pPr>
      <w:r>
        <w:rPr>
          <w:color w:val="414141"/>
        </w:rPr>
        <w:t>Members of the ARAC must declare any personal or business interests which may, or may be perceived to, influence their judgement in performing their role. These interests will be included in a register of interests maintained by THO which will be</w:t>
      </w:r>
    </w:p>
    <w:p w14:paraId="62E8ABF4" w14:textId="77777777" w:rsidR="00344193" w:rsidRDefault="00344193" w:rsidP="00344193">
      <w:pPr>
        <w:spacing w:line="276" w:lineRule="auto"/>
        <w:sectPr w:rsidR="00344193">
          <w:pgSz w:w="11910" w:h="16840"/>
          <w:pgMar w:top="1340" w:right="1220" w:bottom="1240" w:left="840" w:header="0" w:footer="1054" w:gutter="0"/>
          <w:cols w:space="720"/>
        </w:sectPr>
      </w:pPr>
    </w:p>
    <w:p w14:paraId="13199120" w14:textId="77777777" w:rsidR="00344193" w:rsidRDefault="00344193" w:rsidP="00344193">
      <w:pPr>
        <w:pStyle w:val="BodyText"/>
        <w:spacing w:before="80" w:line="276" w:lineRule="auto"/>
        <w:ind w:left="600" w:right="505"/>
      </w:pPr>
      <w:r>
        <w:rPr>
          <w:color w:val="414141"/>
        </w:rPr>
        <w:lastRenderedPageBreak/>
        <w:t>made available on the THO website. Members of the ARAC must ensure that their entries are kept up to date.</w:t>
      </w:r>
    </w:p>
    <w:p w14:paraId="56E1382A" w14:textId="77777777" w:rsidR="00344193" w:rsidRDefault="00344193" w:rsidP="00344193">
      <w:pPr>
        <w:pStyle w:val="BodyText"/>
        <w:spacing w:before="200"/>
        <w:ind w:left="600"/>
      </w:pPr>
      <w:r>
        <w:rPr>
          <w:u w:val="single"/>
        </w:rPr>
        <w:t>Responsibilities</w:t>
      </w:r>
    </w:p>
    <w:p w14:paraId="19347E4C" w14:textId="77777777" w:rsidR="00344193" w:rsidRDefault="00344193" w:rsidP="00344193">
      <w:pPr>
        <w:pStyle w:val="BodyText"/>
        <w:spacing w:before="10"/>
        <w:rPr>
          <w:sz w:val="20"/>
        </w:rPr>
      </w:pPr>
    </w:p>
    <w:p w14:paraId="0DDDF7B0" w14:textId="77777777" w:rsidR="00344193" w:rsidRDefault="00344193" w:rsidP="00344193">
      <w:pPr>
        <w:pStyle w:val="BodyText"/>
        <w:spacing w:line="278" w:lineRule="auto"/>
        <w:ind w:left="600" w:right="278"/>
      </w:pPr>
      <w:r>
        <w:rPr>
          <w:color w:val="1F1F1F"/>
        </w:rPr>
        <w:t>The ARAC will comply with the ARAC handbook (with adaptations appropriate to the governance structure of THO).</w:t>
      </w:r>
    </w:p>
    <w:p w14:paraId="1773D8C2" w14:textId="77777777" w:rsidR="00344193" w:rsidRDefault="00344193" w:rsidP="00344193">
      <w:pPr>
        <w:pStyle w:val="BodyText"/>
        <w:rPr>
          <w:sz w:val="26"/>
        </w:rPr>
      </w:pPr>
    </w:p>
    <w:p w14:paraId="524F3855" w14:textId="77777777" w:rsidR="00344193" w:rsidRDefault="00344193" w:rsidP="00344193">
      <w:pPr>
        <w:pStyle w:val="BodyText"/>
        <w:spacing w:before="213"/>
        <w:ind w:left="600"/>
      </w:pPr>
      <w:r>
        <w:t>The ARAC will advise the AO on:</w:t>
      </w:r>
    </w:p>
    <w:p w14:paraId="4430F503" w14:textId="77777777" w:rsidR="00344193" w:rsidRDefault="00344193" w:rsidP="00344193">
      <w:pPr>
        <w:pStyle w:val="BodyText"/>
        <w:spacing w:before="11"/>
        <w:rPr>
          <w:sz w:val="20"/>
        </w:rPr>
      </w:pPr>
    </w:p>
    <w:p w14:paraId="25344FA7" w14:textId="77777777" w:rsidR="00344193" w:rsidRDefault="00344193" w:rsidP="00344193">
      <w:pPr>
        <w:pStyle w:val="ListParagraph"/>
        <w:numPr>
          <w:ilvl w:val="2"/>
          <w:numId w:val="13"/>
        </w:numPr>
        <w:tabs>
          <w:tab w:val="left" w:pos="1320"/>
          <w:tab w:val="left" w:pos="1321"/>
        </w:tabs>
        <w:spacing w:line="273" w:lineRule="auto"/>
        <w:ind w:left="1320" w:right="389" w:hanging="360"/>
        <w:rPr>
          <w:sz w:val="24"/>
        </w:rPr>
      </w:pPr>
      <w:r>
        <w:rPr>
          <w:sz w:val="24"/>
        </w:rPr>
        <w:t>the strategic processes for risk, control and governance and the Governance Statement;</w:t>
      </w:r>
    </w:p>
    <w:p w14:paraId="62E09228" w14:textId="77777777" w:rsidR="00344193" w:rsidRDefault="00344193" w:rsidP="00344193">
      <w:pPr>
        <w:pStyle w:val="ListParagraph"/>
        <w:numPr>
          <w:ilvl w:val="2"/>
          <w:numId w:val="13"/>
        </w:numPr>
        <w:tabs>
          <w:tab w:val="left" w:pos="1320"/>
          <w:tab w:val="left" w:pos="1321"/>
        </w:tabs>
        <w:spacing w:before="1" w:line="276" w:lineRule="auto"/>
        <w:ind w:left="1320" w:right="738" w:hanging="360"/>
        <w:rPr>
          <w:sz w:val="24"/>
        </w:rPr>
      </w:pPr>
      <w:r>
        <w:rPr>
          <w:sz w:val="24"/>
        </w:rPr>
        <w:t>the accounting policies, the accounts, and the annual report of the organisation, including the process for review of the accounts prior to submission for audit, levels of error identified, and management’s letter</w:t>
      </w:r>
      <w:r>
        <w:rPr>
          <w:spacing w:val="-39"/>
          <w:sz w:val="24"/>
        </w:rPr>
        <w:t xml:space="preserve"> </w:t>
      </w:r>
      <w:r>
        <w:rPr>
          <w:sz w:val="24"/>
        </w:rPr>
        <w:t>of representation to the external</w:t>
      </w:r>
      <w:r>
        <w:rPr>
          <w:spacing w:val="-3"/>
          <w:sz w:val="24"/>
        </w:rPr>
        <w:t xml:space="preserve"> </w:t>
      </w:r>
      <w:r>
        <w:rPr>
          <w:sz w:val="24"/>
        </w:rPr>
        <w:t>auditors;</w:t>
      </w:r>
    </w:p>
    <w:p w14:paraId="5C53F63A" w14:textId="77777777" w:rsidR="00344193" w:rsidRDefault="00344193" w:rsidP="00344193">
      <w:pPr>
        <w:pStyle w:val="ListParagraph"/>
        <w:numPr>
          <w:ilvl w:val="2"/>
          <w:numId w:val="13"/>
        </w:numPr>
        <w:tabs>
          <w:tab w:val="left" w:pos="1320"/>
          <w:tab w:val="left" w:pos="1321"/>
        </w:tabs>
        <w:spacing w:line="290" w:lineRule="exact"/>
        <w:ind w:left="1320" w:hanging="361"/>
        <w:rPr>
          <w:sz w:val="24"/>
        </w:rPr>
      </w:pPr>
      <w:r>
        <w:rPr>
          <w:sz w:val="24"/>
        </w:rPr>
        <w:t>the planned activity and results of both internal and external</w:t>
      </w:r>
      <w:r>
        <w:rPr>
          <w:spacing w:val="-15"/>
          <w:sz w:val="24"/>
        </w:rPr>
        <w:t xml:space="preserve"> </w:t>
      </w:r>
      <w:r>
        <w:rPr>
          <w:sz w:val="24"/>
        </w:rPr>
        <w:t>audit;</w:t>
      </w:r>
    </w:p>
    <w:p w14:paraId="1C19E5EA" w14:textId="77777777" w:rsidR="00344193" w:rsidRDefault="00344193" w:rsidP="00344193">
      <w:pPr>
        <w:pStyle w:val="ListParagraph"/>
        <w:numPr>
          <w:ilvl w:val="2"/>
          <w:numId w:val="13"/>
        </w:numPr>
        <w:tabs>
          <w:tab w:val="left" w:pos="1320"/>
          <w:tab w:val="left" w:pos="1321"/>
        </w:tabs>
        <w:spacing w:before="39" w:line="273" w:lineRule="auto"/>
        <w:ind w:left="1320" w:right="887" w:hanging="360"/>
        <w:rPr>
          <w:sz w:val="24"/>
        </w:rPr>
      </w:pPr>
      <w:r>
        <w:rPr>
          <w:sz w:val="24"/>
        </w:rPr>
        <w:t>adequacy of management response to issues identified by audit</w:t>
      </w:r>
      <w:r>
        <w:rPr>
          <w:spacing w:val="-36"/>
          <w:sz w:val="24"/>
        </w:rPr>
        <w:t xml:space="preserve"> </w:t>
      </w:r>
      <w:r>
        <w:rPr>
          <w:sz w:val="24"/>
        </w:rPr>
        <w:t>activity, including external audit’s management</w:t>
      </w:r>
      <w:r>
        <w:rPr>
          <w:spacing w:val="-5"/>
          <w:sz w:val="24"/>
        </w:rPr>
        <w:t xml:space="preserve"> </w:t>
      </w:r>
      <w:r>
        <w:rPr>
          <w:sz w:val="24"/>
        </w:rPr>
        <w:t>letter;</w:t>
      </w:r>
    </w:p>
    <w:p w14:paraId="2896097E" w14:textId="77777777" w:rsidR="00344193" w:rsidRDefault="00344193" w:rsidP="00344193">
      <w:pPr>
        <w:pStyle w:val="ListParagraph"/>
        <w:numPr>
          <w:ilvl w:val="2"/>
          <w:numId w:val="13"/>
        </w:numPr>
        <w:tabs>
          <w:tab w:val="left" w:pos="1320"/>
          <w:tab w:val="left" w:pos="1321"/>
        </w:tabs>
        <w:spacing w:before="1" w:line="273" w:lineRule="auto"/>
        <w:ind w:left="1320" w:right="738" w:hanging="360"/>
        <w:rPr>
          <w:sz w:val="24"/>
        </w:rPr>
      </w:pPr>
      <w:r>
        <w:rPr>
          <w:sz w:val="24"/>
        </w:rPr>
        <w:t>assurances relating to the management of risk and corporate</w:t>
      </w:r>
      <w:r>
        <w:rPr>
          <w:spacing w:val="-29"/>
          <w:sz w:val="24"/>
        </w:rPr>
        <w:t xml:space="preserve"> </w:t>
      </w:r>
      <w:r>
        <w:rPr>
          <w:sz w:val="24"/>
        </w:rPr>
        <w:t>governance requirements for the</w:t>
      </w:r>
      <w:r>
        <w:rPr>
          <w:spacing w:val="-7"/>
          <w:sz w:val="24"/>
        </w:rPr>
        <w:t xml:space="preserve"> </w:t>
      </w:r>
      <w:r>
        <w:rPr>
          <w:sz w:val="24"/>
        </w:rPr>
        <w:t>organisation;</w:t>
      </w:r>
    </w:p>
    <w:p w14:paraId="1EF6E531" w14:textId="77777777" w:rsidR="00344193" w:rsidRDefault="00344193" w:rsidP="00344193">
      <w:pPr>
        <w:pStyle w:val="ListParagraph"/>
        <w:numPr>
          <w:ilvl w:val="2"/>
          <w:numId w:val="13"/>
        </w:numPr>
        <w:tabs>
          <w:tab w:val="left" w:pos="1320"/>
          <w:tab w:val="left" w:pos="1321"/>
        </w:tabs>
        <w:spacing w:before="1" w:line="273" w:lineRule="auto"/>
        <w:ind w:left="1320" w:right="274" w:hanging="360"/>
        <w:rPr>
          <w:sz w:val="24"/>
        </w:rPr>
      </w:pPr>
      <w:r>
        <w:rPr>
          <w:sz w:val="24"/>
        </w:rPr>
        <w:t>proposals for tendering for Internal Audit services or for purchase of non-audit services from contractors who provide audit</w:t>
      </w:r>
      <w:r>
        <w:rPr>
          <w:spacing w:val="-7"/>
          <w:sz w:val="24"/>
        </w:rPr>
        <w:t xml:space="preserve"> </w:t>
      </w:r>
      <w:r>
        <w:rPr>
          <w:sz w:val="24"/>
        </w:rPr>
        <w:t>services;</w:t>
      </w:r>
    </w:p>
    <w:p w14:paraId="00C3480B" w14:textId="77777777" w:rsidR="00344193" w:rsidRDefault="00344193" w:rsidP="00344193">
      <w:pPr>
        <w:pStyle w:val="ListParagraph"/>
        <w:numPr>
          <w:ilvl w:val="2"/>
          <w:numId w:val="13"/>
        </w:numPr>
        <w:tabs>
          <w:tab w:val="left" w:pos="1320"/>
          <w:tab w:val="left" w:pos="1321"/>
        </w:tabs>
        <w:spacing w:before="3" w:line="273" w:lineRule="auto"/>
        <w:ind w:left="1320" w:right="479" w:hanging="360"/>
        <w:rPr>
          <w:sz w:val="24"/>
        </w:rPr>
      </w:pPr>
      <w:r>
        <w:rPr>
          <w:sz w:val="24"/>
        </w:rPr>
        <w:t>anti-fraud policies, whistle-blowing processes, and arrangements for special investigations;</w:t>
      </w:r>
      <w:r>
        <w:rPr>
          <w:spacing w:val="-1"/>
          <w:sz w:val="24"/>
        </w:rPr>
        <w:t xml:space="preserve"> </w:t>
      </w:r>
      <w:r>
        <w:rPr>
          <w:sz w:val="24"/>
        </w:rPr>
        <w:t>and</w:t>
      </w:r>
    </w:p>
    <w:p w14:paraId="5EAF8D29" w14:textId="77777777" w:rsidR="00344193" w:rsidRDefault="00344193" w:rsidP="00344193">
      <w:pPr>
        <w:pStyle w:val="ListParagraph"/>
        <w:numPr>
          <w:ilvl w:val="2"/>
          <w:numId w:val="13"/>
        </w:numPr>
        <w:tabs>
          <w:tab w:val="left" w:pos="1320"/>
          <w:tab w:val="left" w:pos="1321"/>
        </w:tabs>
        <w:spacing w:before="1" w:line="273" w:lineRule="auto"/>
        <w:ind w:left="1320" w:right="683" w:hanging="360"/>
        <w:rPr>
          <w:sz w:val="24"/>
        </w:rPr>
      </w:pPr>
      <w:r>
        <w:rPr>
          <w:sz w:val="24"/>
        </w:rPr>
        <w:t>the ARAC will also periodically review its own effectiveness and report the results of that review to the</w:t>
      </w:r>
      <w:r>
        <w:rPr>
          <w:spacing w:val="-4"/>
          <w:sz w:val="24"/>
        </w:rPr>
        <w:t xml:space="preserve"> </w:t>
      </w:r>
      <w:r>
        <w:rPr>
          <w:sz w:val="24"/>
        </w:rPr>
        <w:t>AO.</w:t>
      </w:r>
    </w:p>
    <w:p w14:paraId="0FC73C75" w14:textId="77777777" w:rsidR="00344193" w:rsidRDefault="00344193" w:rsidP="00344193">
      <w:pPr>
        <w:pStyle w:val="BodyText"/>
        <w:spacing w:before="8"/>
        <w:rPr>
          <w:sz w:val="27"/>
        </w:rPr>
      </w:pPr>
    </w:p>
    <w:p w14:paraId="69671C48" w14:textId="77777777" w:rsidR="00344193" w:rsidRDefault="00344193" w:rsidP="00344193">
      <w:pPr>
        <w:pStyle w:val="BodyText"/>
        <w:spacing w:line="276" w:lineRule="auto"/>
        <w:ind w:left="600" w:right="359"/>
      </w:pPr>
      <w:r>
        <w:t>At least two members of the ARAC will be ex-officio members of the Panel of Advisors, one of whom must be the Chair.</w:t>
      </w:r>
    </w:p>
    <w:p w14:paraId="33B4F6CF" w14:textId="77777777" w:rsidR="00344193" w:rsidRDefault="00344193" w:rsidP="00344193">
      <w:pPr>
        <w:pStyle w:val="BodyText"/>
        <w:spacing w:before="201" w:line="276" w:lineRule="auto"/>
        <w:ind w:left="600" w:right="385"/>
      </w:pPr>
      <w:r>
        <w:rPr>
          <w:color w:val="1F1F1F"/>
        </w:rPr>
        <w:t>The ARAC should maintain effective communication with all stakeholders, including internal audit, external audit and the MHCLG Finance team. At the discretion of its Chair, the ARAC may also seek advice from the Chair of the MHCLG ARAC.</w:t>
      </w:r>
    </w:p>
    <w:p w14:paraId="406D3851" w14:textId="77777777" w:rsidR="00344193" w:rsidRDefault="00344193" w:rsidP="00344193">
      <w:pPr>
        <w:pStyle w:val="BodyText"/>
        <w:spacing w:before="200"/>
        <w:ind w:left="600"/>
      </w:pPr>
      <w:r>
        <w:rPr>
          <w:u w:val="single"/>
        </w:rPr>
        <w:t>Reporting</w:t>
      </w:r>
    </w:p>
    <w:p w14:paraId="39166274" w14:textId="77777777" w:rsidR="00344193" w:rsidRDefault="00344193" w:rsidP="00344193">
      <w:pPr>
        <w:pStyle w:val="BodyText"/>
        <w:spacing w:before="43" w:line="276" w:lineRule="auto"/>
        <w:ind w:left="600" w:right="265"/>
      </w:pPr>
      <w:r>
        <w:t>The ARAC will provide the AO with an Annual Report, timed to support finalisation of the accounts and the Governance Statement, summarising its conclusions from the work it has done during the year.</w:t>
      </w:r>
    </w:p>
    <w:p w14:paraId="2ACBCC9D" w14:textId="77777777" w:rsidR="00344193" w:rsidRDefault="00344193" w:rsidP="00344193">
      <w:pPr>
        <w:pStyle w:val="BodyText"/>
        <w:spacing w:before="7"/>
        <w:rPr>
          <w:sz w:val="27"/>
        </w:rPr>
      </w:pPr>
    </w:p>
    <w:p w14:paraId="67758005" w14:textId="77777777" w:rsidR="00344193" w:rsidRDefault="00344193" w:rsidP="00344193">
      <w:pPr>
        <w:pStyle w:val="BodyText"/>
        <w:ind w:left="600"/>
      </w:pPr>
      <w:r>
        <w:rPr>
          <w:u w:val="single"/>
        </w:rPr>
        <w:t>Rights</w:t>
      </w:r>
    </w:p>
    <w:p w14:paraId="21BD299E" w14:textId="77777777" w:rsidR="00344193" w:rsidRDefault="00344193" w:rsidP="00344193">
      <w:pPr>
        <w:pStyle w:val="BodyText"/>
        <w:spacing w:before="41"/>
        <w:ind w:left="600"/>
      </w:pPr>
      <w:r>
        <w:t>The ARAC may:</w:t>
      </w:r>
    </w:p>
    <w:p w14:paraId="70F25827" w14:textId="77777777" w:rsidR="00344193" w:rsidRDefault="00344193" w:rsidP="00344193">
      <w:pPr>
        <w:sectPr w:rsidR="00344193">
          <w:pgSz w:w="11910" w:h="16840"/>
          <w:pgMar w:top="1340" w:right="1220" w:bottom="1240" w:left="840" w:header="0" w:footer="1054" w:gutter="0"/>
          <w:cols w:space="720"/>
        </w:sectPr>
      </w:pPr>
    </w:p>
    <w:p w14:paraId="1C2CD47E" w14:textId="77777777" w:rsidR="00344193" w:rsidRDefault="00344193" w:rsidP="00344193">
      <w:pPr>
        <w:pStyle w:val="ListParagraph"/>
        <w:numPr>
          <w:ilvl w:val="2"/>
          <w:numId w:val="13"/>
        </w:numPr>
        <w:tabs>
          <w:tab w:val="left" w:pos="1320"/>
          <w:tab w:val="left" w:pos="1321"/>
        </w:tabs>
        <w:spacing w:before="78" w:line="273" w:lineRule="auto"/>
        <w:ind w:left="1320" w:right="1007" w:hanging="360"/>
        <w:rPr>
          <w:sz w:val="24"/>
        </w:rPr>
      </w:pPr>
      <w:r>
        <w:rPr>
          <w:sz w:val="24"/>
        </w:rPr>
        <w:lastRenderedPageBreak/>
        <w:t>co-opt additional members for a period not exceeding a year to</w:t>
      </w:r>
      <w:r>
        <w:rPr>
          <w:spacing w:val="-33"/>
          <w:sz w:val="24"/>
        </w:rPr>
        <w:t xml:space="preserve"> </w:t>
      </w:r>
      <w:r>
        <w:rPr>
          <w:sz w:val="24"/>
        </w:rPr>
        <w:t>provide specialist skills, knowledge and experience;</w:t>
      </w:r>
      <w:r>
        <w:rPr>
          <w:spacing w:val="-4"/>
          <w:sz w:val="24"/>
        </w:rPr>
        <w:t xml:space="preserve"> </w:t>
      </w:r>
      <w:r>
        <w:rPr>
          <w:sz w:val="24"/>
        </w:rPr>
        <w:t>and</w:t>
      </w:r>
    </w:p>
    <w:p w14:paraId="7EE0B738" w14:textId="77777777" w:rsidR="00344193" w:rsidRDefault="00344193" w:rsidP="00344193">
      <w:pPr>
        <w:pStyle w:val="ListParagraph"/>
        <w:numPr>
          <w:ilvl w:val="2"/>
          <w:numId w:val="13"/>
        </w:numPr>
        <w:tabs>
          <w:tab w:val="left" w:pos="1320"/>
          <w:tab w:val="left" w:pos="1321"/>
        </w:tabs>
        <w:spacing w:before="1" w:line="273" w:lineRule="auto"/>
        <w:ind w:left="1320" w:right="516" w:hanging="360"/>
        <w:rPr>
          <w:sz w:val="24"/>
        </w:rPr>
      </w:pPr>
      <w:r>
        <w:rPr>
          <w:sz w:val="24"/>
        </w:rPr>
        <w:t>procure specialist ad-hoc advice at the expense of HOS, subject to budgets agreed by the</w:t>
      </w:r>
      <w:r>
        <w:rPr>
          <w:spacing w:val="-5"/>
          <w:sz w:val="24"/>
        </w:rPr>
        <w:t xml:space="preserve"> </w:t>
      </w:r>
      <w:r>
        <w:rPr>
          <w:sz w:val="24"/>
        </w:rPr>
        <w:t>AO.</w:t>
      </w:r>
    </w:p>
    <w:p w14:paraId="0DE1CA32" w14:textId="77777777" w:rsidR="00344193" w:rsidRDefault="00344193" w:rsidP="00344193">
      <w:pPr>
        <w:pStyle w:val="BodyText"/>
        <w:spacing w:before="11"/>
        <w:rPr>
          <w:sz w:val="27"/>
        </w:rPr>
      </w:pPr>
    </w:p>
    <w:p w14:paraId="2A16948A" w14:textId="77777777" w:rsidR="00344193" w:rsidRDefault="00344193" w:rsidP="00344193">
      <w:pPr>
        <w:pStyle w:val="BodyText"/>
        <w:ind w:left="600"/>
      </w:pPr>
      <w:r>
        <w:rPr>
          <w:u w:val="single"/>
        </w:rPr>
        <w:t>Access</w:t>
      </w:r>
    </w:p>
    <w:p w14:paraId="3F4D4AB3" w14:textId="77777777" w:rsidR="00344193" w:rsidRDefault="00344193" w:rsidP="00344193">
      <w:pPr>
        <w:pStyle w:val="BodyText"/>
        <w:spacing w:before="41" w:line="276" w:lineRule="auto"/>
        <w:ind w:left="600" w:right="211"/>
      </w:pPr>
      <w:r>
        <w:t>The Head of Internal Audit and the representative of External Audit will have free and confidential access to the Chair of the ARAC.</w:t>
      </w:r>
    </w:p>
    <w:p w14:paraId="13378355" w14:textId="77777777" w:rsidR="00344193" w:rsidRDefault="00344193" w:rsidP="00344193">
      <w:pPr>
        <w:pStyle w:val="BodyText"/>
        <w:spacing w:before="7"/>
        <w:rPr>
          <w:sz w:val="27"/>
        </w:rPr>
      </w:pPr>
    </w:p>
    <w:p w14:paraId="53B6003C" w14:textId="77777777" w:rsidR="00344193" w:rsidRDefault="00344193" w:rsidP="00344193">
      <w:pPr>
        <w:pStyle w:val="BodyText"/>
        <w:ind w:left="600"/>
      </w:pPr>
      <w:r>
        <w:rPr>
          <w:u w:val="single"/>
        </w:rPr>
        <w:t>Meetings</w:t>
      </w:r>
    </w:p>
    <w:p w14:paraId="0833EC05" w14:textId="77777777" w:rsidR="00344193" w:rsidRDefault="00344193" w:rsidP="00344193">
      <w:pPr>
        <w:pStyle w:val="BodyText"/>
        <w:spacing w:before="42" w:line="276" w:lineRule="auto"/>
        <w:ind w:left="600" w:right="306"/>
      </w:pPr>
      <w:r>
        <w:t>The ARAC will meet at least four times a year. The Chair of the ARAC may convene additional meetings, as they deem necessary.</w:t>
      </w:r>
    </w:p>
    <w:p w14:paraId="4AF236B6" w14:textId="77777777" w:rsidR="00344193" w:rsidRDefault="00344193" w:rsidP="00344193">
      <w:pPr>
        <w:pStyle w:val="BodyText"/>
        <w:spacing w:line="278" w:lineRule="auto"/>
        <w:ind w:left="600" w:right="813"/>
      </w:pPr>
      <w:r>
        <w:t>A minimum of three members of the ARAC will be present for the meeting to be deemed quorate.</w:t>
      </w:r>
    </w:p>
    <w:p w14:paraId="4929B51D" w14:textId="77777777" w:rsidR="00344193" w:rsidRDefault="00344193" w:rsidP="00344193">
      <w:pPr>
        <w:pStyle w:val="BodyText"/>
        <w:spacing w:line="276" w:lineRule="auto"/>
        <w:ind w:left="600" w:right="265"/>
      </w:pPr>
      <w:r>
        <w:t>In the absence of the Chair for the whole or part of a meeting, the ARAC may elect a temporary Chair from one of the members present for the period of such absence.</w:t>
      </w:r>
    </w:p>
    <w:p w14:paraId="601600EF" w14:textId="77777777" w:rsidR="00344193" w:rsidRDefault="00344193" w:rsidP="00344193">
      <w:pPr>
        <w:pStyle w:val="BodyText"/>
        <w:spacing w:line="276" w:lineRule="auto"/>
        <w:ind w:left="600" w:right="229"/>
      </w:pPr>
      <w:r>
        <w:t xml:space="preserve">The ARAC meetings will normally be attended by the AO, the Chief Operating Officer, the Director of Finance and Corporate Services, the Head of Internal Audit, a representative of External Audit. Representatives from </w:t>
      </w:r>
    </w:p>
    <w:p w14:paraId="472EC424" w14:textId="77777777" w:rsidR="00344193" w:rsidRDefault="00344193" w:rsidP="00344193">
      <w:pPr>
        <w:pStyle w:val="BodyText"/>
        <w:spacing w:line="276" w:lineRule="auto"/>
        <w:ind w:left="600" w:right="229"/>
      </w:pPr>
      <w:r>
        <w:t>MHCLG Finance will be invited to every meeting and will receive copies of agendas and minutes. The ARAC may ask any other officials of the organisation to attend to assist it with its discussions on any particular</w:t>
      </w:r>
      <w:r>
        <w:rPr>
          <w:spacing w:val="-8"/>
        </w:rPr>
        <w:t xml:space="preserve"> </w:t>
      </w:r>
      <w:r>
        <w:t>matter.</w:t>
      </w:r>
    </w:p>
    <w:p w14:paraId="68276175" w14:textId="77777777" w:rsidR="00344193" w:rsidRDefault="00344193" w:rsidP="00344193">
      <w:pPr>
        <w:pStyle w:val="BodyText"/>
        <w:spacing w:line="276" w:lineRule="auto"/>
        <w:ind w:left="600" w:right="332"/>
      </w:pPr>
      <w:r>
        <w:t>The ARAC may ask any or all of those who normally attend but who are not members to withdraw to facilitate open and frank discussion of particular matters. The AO may ask the ARAC to convene further meetings to discuss particular issues on which they want the Committee’s advice.</w:t>
      </w:r>
    </w:p>
    <w:p w14:paraId="49D2B12D" w14:textId="77777777" w:rsidR="00344193" w:rsidRDefault="00344193" w:rsidP="00344193">
      <w:pPr>
        <w:pStyle w:val="BodyText"/>
        <w:spacing w:line="276" w:lineRule="auto"/>
        <w:ind w:left="600" w:right="724"/>
      </w:pPr>
      <w:r>
        <w:t>Members of the ARAC will be remunerated in line with remuneration received by non-executive members of similar ALBs.</w:t>
      </w:r>
    </w:p>
    <w:p w14:paraId="32E3E5DD" w14:textId="77777777" w:rsidR="00344193" w:rsidRDefault="00344193" w:rsidP="00344193">
      <w:pPr>
        <w:pStyle w:val="BodyText"/>
        <w:spacing w:line="276" w:lineRule="auto"/>
        <w:ind w:left="600" w:right="465"/>
      </w:pPr>
      <w:r>
        <w:rPr>
          <w:color w:val="1F1F1F"/>
        </w:rPr>
        <w:t>ARAC meetings shall only be cancelled by THO with the express agreement of the Chair.</w:t>
      </w:r>
    </w:p>
    <w:p w14:paraId="6BF612F1" w14:textId="77777777" w:rsidR="00344193" w:rsidRDefault="00344193" w:rsidP="00344193">
      <w:pPr>
        <w:pStyle w:val="BodyText"/>
        <w:spacing w:before="2"/>
        <w:rPr>
          <w:sz w:val="27"/>
        </w:rPr>
      </w:pPr>
    </w:p>
    <w:p w14:paraId="5A41A893" w14:textId="77777777" w:rsidR="00344193" w:rsidRDefault="00344193" w:rsidP="00344193">
      <w:pPr>
        <w:pStyle w:val="BodyText"/>
        <w:ind w:left="600"/>
      </w:pPr>
      <w:r>
        <w:rPr>
          <w:u w:val="single"/>
        </w:rPr>
        <w:t>Information requirements</w:t>
      </w:r>
    </w:p>
    <w:p w14:paraId="23ED0784" w14:textId="77777777" w:rsidR="00344193" w:rsidRDefault="00344193" w:rsidP="00344193">
      <w:pPr>
        <w:pStyle w:val="BodyText"/>
        <w:spacing w:before="41"/>
        <w:ind w:left="600"/>
      </w:pPr>
      <w:r>
        <w:t>For each main meeting, the ARAC will be provided with:</w:t>
      </w:r>
    </w:p>
    <w:p w14:paraId="57460CF2" w14:textId="77777777" w:rsidR="00344193" w:rsidRDefault="00344193" w:rsidP="00344193">
      <w:pPr>
        <w:pStyle w:val="ListParagraph"/>
        <w:numPr>
          <w:ilvl w:val="2"/>
          <w:numId w:val="13"/>
        </w:numPr>
        <w:tabs>
          <w:tab w:val="left" w:pos="1320"/>
          <w:tab w:val="left" w:pos="1321"/>
        </w:tabs>
        <w:spacing w:before="39" w:line="273" w:lineRule="auto"/>
        <w:ind w:left="1320" w:right="522" w:hanging="360"/>
        <w:rPr>
          <w:sz w:val="24"/>
        </w:rPr>
      </w:pPr>
      <w:r>
        <w:rPr>
          <w:sz w:val="24"/>
        </w:rPr>
        <w:t>a report summarising any significant changes to the organisation’s strategic risks and a copy of the Corporate Risk</w:t>
      </w:r>
      <w:r>
        <w:rPr>
          <w:spacing w:val="-5"/>
          <w:sz w:val="24"/>
        </w:rPr>
        <w:t xml:space="preserve"> </w:t>
      </w:r>
      <w:r>
        <w:rPr>
          <w:sz w:val="24"/>
        </w:rPr>
        <w:t>Register;</w:t>
      </w:r>
    </w:p>
    <w:p w14:paraId="356B9062" w14:textId="77777777" w:rsidR="00344193" w:rsidRDefault="00344193" w:rsidP="00344193">
      <w:pPr>
        <w:pStyle w:val="ListParagraph"/>
        <w:numPr>
          <w:ilvl w:val="2"/>
          <w:numId w:val="13"/>
        </w:numPr>
        <w:tabs>
          <w:tab w:val="left" w:pos="359"/>
          <w:tab w:val="left" w:pos="360"/>
        </w:tabs>
        <w:spacing w:before="3"/>
        <w:ind w:left="1320" w:right="1871" w:hanging="1321"/>
        <w:jc w:val="right"/>
        <w:rPr>
          <w:sz w:val="24"/>
        </w:rPr>
      </w:pPr>
      <w:r>
        <w:rPr>
          <w:sz w:val="24"/>
        </w:rPr>
        <w:t>a progress report from the Head of Internal Audit</w:t>
      </w:r>
      <w:r>
        <w:rPr>
          <w:spacing w:val="-22"/>
          <w:sz w:val="24"/>
        </w:rPr>
        <w:t xml:space="preserve"> </w:t>
      </w:r>
      <w:r>
        <w:rPr>
          <w:sz w:val="24"/>
        </w:rPr>
        <w:t>summarising:</w:t>
      </w:r>
    </w:p>
    <w:p w14:paraId="7A8ECBBA" w14:textId="77777777" w:rsidR="00344193" w:rsidRDefault="00344193" w:rsidP="00344193">
      <w:pPr>
        <w:pStyle w:val="ListParagraph"/>
        <w:numPr>
          <w:ilvl w:val="3"/>
          <w:numId w:val="13"/>
        </w:numPr>
        <w:tabs>
          <w:tab w:val="left" w:pos="360"/>
        </w:tabs>
        <w:spacing w:before="41"/>
        <w:ind w:right="1944" w:hanging="2041"/>
        <w:jc w:val="right"/>
        <w:rPr>
          <w:sz w:val="24"/>
        </w:rPr>
      </w:pPr>
      <w:r>
        <w:rPr>
          <w:sz w:val="24"/>
        </w:rPr>
        <w:t>work performed (and a comparison with work</w:t>
      </w:r>
      <w:r>
        <w:rPr>
          <w:spacing w:val="-17"/>
          <w:sz w:val="24"/>
        </w:rPr>
        <w:t xml:space="preserve"> </w:t>
      </w:r>
      <w:r>
        <w:rPr>
          <w:sz w:val="24"/>
        </w:rPr>
        <w:t>planned);</w:t>
      </w:r>
    </w:p>
    <w:p w14:paraId="532A8D63" w14:textId="77777777" w:rsidR="00344193" w:rsidRDefault="00344193" w:rsidP="00344193">
      <w:pPr>
        <w:pStyle w:val="ListParagraph"/>
        <w:numPr>
          <w:ilvl w:val="3"/>
          <w:numId w:val="13"/>
        </w:numPr>
        <w:tabs>
          <w:tab w:val="left" w:pos="2041"/>
        </w:tabs>
        <w:spacing w:before="20"/>
        <w:ind w:hanging="361"/>
        <w:rPr>
          <w:sz w:val="24"/>
        </w:rPr>
      </w:pPr>
      <w:r>
        <w:rPr>
          <w:sz w:val="24"/>
        </w:rPr>
        <w:t>key issues emerging from the work of internal</w:t>
      </w:r>
      <w:r>
        <w:rPr>
          <w:spacing w:val="-15"/>
          <w:sz w:val="24"/>
        </w:rPr>
        <w:t xml:space="preserve"> </w:t>
      </w:r>
      <w:r>
        <w:rPr>
          <w:sz w:val="24"/>
        </w:rPr>
        <w:t>audit;</w:t>
      </w:r>
    </w:p>
    <w:p w14:paraId="227F01AF" w14:textId="77777777" w:rsidR="00344193" w:rsidRDefault="00344193" w:rsidP="00344193">
      <w:pPr>
        <w:pStyle w:val="ListParagraph"/>
        <w:numPr>
          <w:ilvl w:val="3"/>
          <w:numId w:val="13"/>
        </w:numPr>
        <w:tabs>
          <w:tab w:val="left" w:pos="2041"/>
        </w:tabs>
        <w:spacing w:before="19"/>
        <w:ind w:hanging="361"/>
        <w:rPr>
          <w:sz w:val="24"/>
        </w:rPr>
      </w:pPr>
      <w:r>
        <w:rPr>
          <w:sz w:val="24"/>
        </w:rPr>
        <w:t>management responses to audit</w:t>
      </w:r>
      <w:r>
        <w:rPr>
          <w:spacing w:val="-16"/>
          <w:sz w:val="24"/>
        </w:rPr>
        <w:t xml:space="preserve"> </w:t>
      </w:r>
      <w:r>
        <w:rPr>
          <w:sz w:val="24"/>
        </w:rPr>
        <w:t>recommendations;</w:t>
      </w:r>
    </w:p>
    <w:p w14:paraId="7D704D91" w14:textId="77777777" w:rsidR="00344193" w:rsidRDefault="00344193" w:rsidP="00344193">
      <w:pPr>
        <w:pStyle w:val="ListParagraph"/>
        <w:numPr>
          <w:ilvl w:val="3"/>
          <w:numId w:val="13"/>
        </w:numPr>
        <w:tabs>
          <w:tab w:val="left" w:pos="2041"/>
        </w:tabs>
        <w:spacing w:before="20"/>
        <w:ind w:hanging="361"/>
        <w:rPr>
          <w:sz w:val="24"/>
        </w:rPr>
      </w:pPr>
      <w:r>
        <w:rPr>
          <w:sz w:val="24"/>
        </w:rPr>
        <w:t>changes to the agreed internal audit plan;</w:t>
      </w:r>
      <w:r>
        <w:rPr>
          <w:spacing w:val="-8"/>
          <w:sz w:val="24"/>
        </w:rPr>
        <w:t xml:space="preserve"> </w:t>
      </w:r>
      <w:r>
        <w:rPr>
          <w:sz w:val="24"/>
        </w:rPr>
        <w:t>and</w:t>
      </w:r>
    </w:p>
    <w:p w14:paraId="585CC051" w14:textId="77777777" w:rsidR="00344193" w:rsidRDefault="00344193" w:rsidP="00344193">
      <w:pPr>
        <w:pStyle w:val="ListParagraph"/>
        <w:numPr>
          <w:ilvl w:val="3"/>
          <w:numId w:val="13"/>
        </w:numPr>
        <w:tabs>
          <w:tab w:val="left" w:pos="2041"/>
        </w:tabs>
        <w:spacing w:before="22" w:line="256" w:lineRule="auto"/>
        <w:ind w:right="295"/>
        <w:rPr>
          <w:sz w:val="24"/>
        </w:rPr>
      </w:pPr>
      <w:r>
        <w:rPr>
          <w:sz w:val="24"/>
        </w:rPr>
        <w:t>any resourcing issues affecting the delivery of the objectives of internal audit.</w:t>
      </w:r>
    </w:p>
    <w:p w14:paraId="794ABB04" w14:textId="77777777" w:rsidR="00344193" w:rsidRDefault="00344193" w:rsidP="00344193">
      <w:pPr>
        <w:spacing w:line="256" w:lineRule="auto"/>
        <w:rPr>
          <w:sz w:val="24"/>
        </w:rPr>
        <w:sectPr w:rsidR="00344193">
          <w:pgSz w:w="11910" w:h="16840"/>
          <w:pgMar w:top="1340" w:right="1220" w:bottom="1240" w:left="840" w:header="0" w:footer="1054" w:gutter="0"/>
          <w:cols w:space="720"/>
        </w:sectPr>
      </w:pPr>
    </w:p>
    <w:p w14:paraId="42F56F41" w14:textId="77777777" w:rsidR="00344193" w:rsidRDefault="00344193" w:rsidP="00344193">
      <w:pPr>
        <w:pStyle w:val="ListParagraph"/>
        <w:numPr>
          <w:ilvl w:val="2"/>
          <w:numId w:val="13"/>
        </w:numPr>
        <w:tabs>
          <w:tab w:val="left" w:pos="1321"/>
        </w:tabs>
        <w:spacing w:before="78" w:line="276" w:lineRule="auto"/>
        <w:ind w:left="1320" w:right="870" w:hanging="360"/>
        <w:jc w:val="both"/>
        <w:rPr>
          <w:sz w:val="24"/>
        </w:rPr>
      </w:pPr>
      <w:r>
        <w:rPr>
          <w:sz w:val="24"/>
        </w:rPr>
        <w:lastRenderedPageBreak/>
        <w:t>a progress report (written/verbal) from the External Audit representative summarising work done and emerging findings (this may include, where relevant to the organisation, aspects of the wider work carried out by the NAO, for example Value for Money reports and good practice</w:t>
      </w:r>
      <w:r>
        <w:rPr>
          <w:spacing w:val="-28"/>
          <w:sz w:val="24"/>
        </w:rPr>
        <w:t xml:space="preserve"> </w:t>
      </w:r>
      <w:r>
        <w:rPr>
          <w:sz w:val="24"/>
        </w:rPr>
        <w:t>findings);</w:t>
      </w:r>
    </w:p>
    <w:p w14:paraId="5CB9F28B" w14:textId="77777777" w:rsidR="00344193" w:rsidRDefault="00344193" w:rsidP="00344193">
      <w:pPr>
        <w:pStyle w:val="ListParagraph"/>
        <w:numPr>
          <w:ilvl w:val="2"/>
          <w:numId w:val="13"/>
        </w:numPr>
        <w:tabs>
          <w:tab w:val="left" w:pos="1321"/>
        </w:tabs>
        <w:spacing w:line="290" w:lineRule="exact"/>
        <w:ind w:left="1320" w:hanging="361"/>
        <w:jc w:val="both"/>
        <w:rPr>
          <w:sz w:val="24"/>
        </w:rPr>
      </w:pPr>
      <w:r>
        <w:rPr>
          <w:sz w:val="24"/>
        </w:rPr>
        <w:t>a report tracking actions from previous</w:t>
      </w:r>
      <w:r>
        <w:rPr>
          <w:spacing w:val="-3"/>
          <w:sz w:val="24"/>
        </w:rPr>
        <w:t xml:space="preserve"> </w:t>
      </w:r>
      <w:r>
        <w:rPr>
          <w:sz w:val="24"/>
        </w:rPr>
        <w:t>meetings;</w:t>
      </w:r>
    </w:p>
    <w:p w14:paraId="649AA7D8" w14:textId="77777777" w:rsidR="00344193" w:rsidRDefault="00344193" w:rsidP="00344193">
      <w:pPr>
        <w:pStyle w:val="ListParagraph"/>
        <w:numPr>
          <w:ilvl w:val="2"/>
          <w:numId w:val="13"/>
        </w:numPr>
        <w:tabs>
          <w:tab w:val="left" w:pos="1321"/>
        </w:tabs>
        <w:spacing w:before="40"/>
        <w:ind w:left="1320" w:hanging="361"/>
        <w:jc w:val="both"/>
        <w:rPr>
          <w:sz w:val="24"/>
        </w:rPr>
      </w:pPr>
      <w:r>
        <w:rPr>
          <w:sz w:val="24"/>
        </w:rPr>
        <w:t>management assurance reports;</w:t>
      </w:r>
      <w:r>
        <w:rPr>
          <w:spacing w:val="-3"/>
          <w:sz w:val="24"/>
        </w:rPr>
        <w:t xml:space="preserve"> </w:t>
      </w:r>
      <w:r>
        <w:rPr>
          <w:sz w:val="24"/>
        </w:rPr>
        <w:t>and</w:t>
      </w:r>
    </w:p>
    <w:p w14:paraId="1C25F225" w14:textId="77777777" w:rsidR="00344193" w:rsidRDefault="00344193" w:rsidP="00344193">
      <w:pPr>
        <w:pStyle w:val="ListParagraph"/>
        <w:numPr>
          <w:ilvl w:val="2"/>
          <w:numId w:val="13"/>
        </w:numPr>
        <w:tabs>
          <w:tab w:val="left" w:pos="1321"/>
        </w:tabs>
        <w:spacing w:before="39" w:line="273" w:lineRule="auto"/>
        <w:ind w:left="1320" w:right="694" w:hanging="360"/>
        <w:jc w:val="both"/>
        <w:rPr>
          <w:sz w:val="24"/>
        </w:rPr>
      </w:pPr>
      <w:r>
        <w:rPr>
          <w:sz w:val="24"/>
        </w:rPr>
        <w:t>reports on the management of major incidents, “near misses” and lessons learned.</w:t>
      </w:r>
    </w:p>
    <w:p w14:paraId="76C745C3" w14:textId="77777777" w:rsidR="00344193" w:rsidRDefault="00344193" w:rsidP="00344193">
      <w:pPr>
        <w:pStyle w:val="BodyText"/>
        <w:spacing w:before="9"/>
        <w:rPr>
          <w:sz w:val="27"/>
        </w:rPr>
      </w:pPr>
    </w:p>
    <w:p w14:paraId="55CC3F40" w14:textId="77777777" w:rsidR="00344193" w:rsidRDefault="00344193" w:rsidP="00344193">
      <w:pPr>
        <w:pStyle w:val="BodyText"/>
        <w:ind w:left="600"/>
      </w:pPr>
      <w:r>
        <w:t>As and when appropriate the ARAC will also be provided with:</w:t>
      </w:r>
    </w:p>
    <w:p w14:paraId="17A36C5E"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proposals for the terms of reference of internal</w:t>
      </w:r>
      <w:r>
        <w:rPr>
          <w:spacing w:val="-7"/>
          <w:sz w:val="24"/>
        </w:rPr>
        <w:t xml:space="preserve"> </w:t>
      </w:r>
      <w:r>
        <w:rPr>
          <w:sz w:val="24"/>
        </w:rPr>
        <w:t>audit;</w:t>
      </w:r>
    </w:p>
    <w:p w14:paraId="73811E1F" w14:textId="77777777" w:rsidR="00344193" w:rsidRDefault="00344193" w:rsidP="00344193">
      <w:pPr>
        <w:pStyle w:val="ListParagraph"/>
        <w:numPr>
          <w:ilvl w:val="2"/>
          <w:numId w:val="13"/>
        </w:numPr>
        <w:tabs>
          <w:tab w:val="left" w:pos="1320"/>
          <w:tab w:val="left" w:pos="1321"/>
        </w:tabs>
        <w:spacing w:before="39"/>
        <w:ind w:left="1320" w:hanging="361"/>
        <w:rPr>
          <w:sz w:val="24"/>
        </w:rPr>
      </w:pPr>
      <w:r>
        <w:rPr>
          <w:sz w:val="24"/>
        </w:rPr>
        <w:t>the internal audit</w:t>
      </w:r>
      <w:r>
        <w:rPr>
          <w:spacing w:val="-4"/>
          <w:sz w:val="24"/>
        </w:rPr>
        <w:t xml:space="preserve"> </w:t>
      </w:r>
      <w:r>
        <w:rPr>
          <w:sz w:val="24"/>
        </w:rPr>
        <w:t>strategy;</w:t>
      </w:r>
    </w:p>
    <w:p w14:paraId="3B6D9282"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copies of finalised internal audit</w:t>
      </w:r>
      <w:r>
        <w:rPr>
          <w:spacing w:val="-3"/>
          <w:sz w:val="24"/>
        </w:rPr>
        <w:t xml:space="preserve"> </w:t>
      </w:r>
      <w:r>
        <w:rPr>
          <w:sz w:val="24"/>
        </w:rPr>
        <w:t>reports</w:t>
      </w:r>
    </w:p>
    <w:p w14:paraId="759A59D1" w14:textId="77777777" w:rsidR="00344193" w:rsidRDefault="00344193" w:rsidP="00344193">
      <w:pPr>
        <w:pStyle w:val="ListParagraph"/>
        <w:numPr>
          <w:ilvl w:val="2"/>
          <w:numId w:val="13"/>
        </w:numPr>
        <w:tabs>
          <w:tab w:val="left" w:pos="1320"/>
          <w:tab w:val="left" w:pos="1321"/>
        </w:tabs>
        <w:spacing w:before="39"/>
        <w:ind w:left="1320" w:hanging="361"/>
        <w:rPr>
          <w:sz w:val="24"/>
        </w:rPr>
      </w:pPr>
      <w:r>
        <w:rPr>
          <w:sz w:val="24"/>
        </w:rPr>
        <w:t>the Head of Internal Audit’s Annual Opinion and</w:t>
      </w:r>
      <w:r>
        <w:rPr>
          <w:spacing w:val="-9"/>
          <w:sz w:val="24"/>
        </w:rPr>
        <w:t xml:space="preserve"> </w:t>
      </w:r>
      <w:r>
        <w:rPr>
          <w:sz w:val="24"/>
        </w:rPr>
        <w:t>Report;</w:t>
      </w:r>
    </w:p>
    <w:p w14:paraId="3D74A9E7"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quality assurance reports on the internal audit</w:t>
      </w:r>
      <w:r>
        <w:rPr>
          <w:spacing w:val="-8"/>
          <w:sz w:val="24"/>
        </w:rPr>
        <w:t xml:space="preserve"> </w:t>
      </w:r>
      <w:r>
        <w:rPr>
          <w:sz w:val="24"/>
        </w:rPr>
        <w:t>function;</w:t>
      </w:r>
    </w:p>
    <w:p w14:paraId="3FA6C9E0" w14:textId="77777777" w:rsidR="00344193" w:rsidRDefault="00344193" w:rsidP="00344193">
      <w:pPr>
        <w:pStyle w:val="ListParagraph"/>
        <w:numPr>
          <w:ilvl w:val="2"/>
          <w:numId w:val="13"/>
        </w:numPr>
        <w:tabs>
          <w:tab w:val="left" w:pos="1320"/>
          <w:tab w:val="left" w:pos="1321"/>
        </w:tabs>
        <w:spacing w:before="39"/>
        <w:ind w:left="1320" w:hanging="361"/>
        <w:rPr>
          <w:sz w:val="24"/>
        </w:rPr>
      </w:pPr>
      <w:r>
        <w:rPr>
          <w:sz w:val="24"/>
        </w:rPr>
        <w:t>the draft accounts of the</w:t>
      </w:r>
      <w:r>
        <w:rPr>
          <w:spacing w:val="-5"/>
          <w:sz w:val="24"/>
        </w:rPr>
        <w:t xml:space="preserve"> </w:t>
      </w:r>
      <w:r>
        <w:rPr>
          <w:sz w:val="24"/>
        </w:rPr>
        <w:t>organisation;</w:t>
      </w:r>
    </w:p>
    <w:p w14:paraId="7C9B70BC"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the draft Governance</w:t>
      </w:r>
      <w:r>
        <w:rPr>
          <w:spacing w:val="-9"/>
          <w:sz w:val="24"/>
        </w:rPr>
        <w:t xml:space="preserve"> </w:t>
      </w:r>
      <w:r>
        <w:rPr>
          <w:sz w:val="24"/>
        </w:rPr>
        <w:t>Statement;</w:t>
      </w:r>
    </w:p>
    <w:p w14:paraId="7240DEBF"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a report on any changes to accounting</w:t>
      </w:r>
      <w:r>
        <w:rPr>
          <w:spacing w:val="-13"/>
          <w:sz w:val="24"/>
        </w:rPr>
        <w:t xml:space="preserve"> </w:t>
      </w:r>
      <w:r>
        <w:rPr>
          <w:sz w:val="24"/>
        </w:rPr>
        <w:t>policies;</w:t>
      </w:r>
    </w:p>
    <w:p w14:paraId="3DAE285E" w14:textId="77777777" w:rsidR="00344193" w:rsidRDefault="00344193" w:rsidP="00344193">
      <w:pPr>
        <w:pStyle w:val="ListParagraph"/>
        <w:numPr>
          <w:ilvl w:val="2"/>
          <w:numId w:val="13"/>
        </w:numPr>
        <w:tabs>
          <w:tab w:val="left" w:pos="1320"/>
          <w:tab w:val="left" w:pos="1321"/>
        </w:tabs>
        <w:spacing w:before="39"/>
        <w:ind w:left="1320" w:hanging="361"/>
        <w:rPr>
          <w:sz w:val="24"/>
        </w:rPr>
      </w:pPr>
      <w:r>
        <w:rPr>
          <w:sz w:val="24"/>
        </w:rPr>
        <w:t>external audit’s management</w:t>
      </w:r>
      <w:r>
        <w:rPr>
          <w:spacing w:val="-3"/>
          <w:sz w:val="24"/>
        </w:rPr>
        <w:t xml:space="preserve"> </w:t>
      </w:r>
      <w:r>
        <w:rPr>
          <w:sz w:val="24"/>
        </w:rPr>
        <w:t>letter;</w:t>
      </w:r>
    </w:p>
    <w:p w14:paraId="5D4F760A"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a report on any proposal to tender for the internal audit</w:t>
      </w:r>
      <w:r>
        <w:rPr>
          <w:spacing w:val="-20"/>
          <w:sz w:val="24"/>
        </w:rPr>
        <w:t xml:space="preserve"> </w:t>
      </w:r>
      <w:r>
        <w:rPr>
          <w:sz w:val="24"/>
        </w:rPr>
        <w:t>function;</w:t>
      </w:r>
    </w:p>
    <w:p w14:paraId="4C7039F2"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a report on co-operation between internal and external</w:t>
      </w:r>
      <w:r>
        <w:rPr>
          <w:spacing w:val="-10"/>
          <w:sz w:val="24"/>
        </w:rPr>
        <w:t xml:space="preserve"> </w:t>
      </w:r>
      <w:r>
        <w:rPr>
          <w:sz w:val="24"/>
        </w:rPr>
        <w:t>audit;</w:t>
      </w:r>
    </w:p>
    <w:p w14:paraId="086BCA5D" w14:textId="77777777" w:rsidR="00344193" w:rsidRDefault="00344193" w:rsidP="00344193">
      <w:pPr>
        <w:pStyle w:val="ListParagraph"/>
        <w:numPr>
          <w:ilvl w:val="2"/>
          <w:numId w:val="13"/>
        </w:numPr>
        <w:tabs>
          <w:tab w:val="left" w:pos="1320"/>
          <w:tab w:val="left" w:pos="1321"/>
        </w:tabs>
        <w:spacing w:before="39"/>
        <w:ind w:left="1320" w:hanging="361"/>
        <w:rPr>
          <w:sz w:val="24"/>
        </w:rPr>
      </w:pPr>
      <w:r>
        <w:rPr>
          <w:sz w:val="24"/>
        </w:rPr>
        <w:t>the organisation’s risk management</w:t>
      </w:r>
      <w:r>
        <w:rPr>
          <w:spacing w:val="-6"/>
          <w:sz w:val="24"/>
        </w:rPr>
        <w:t xml:space="preserve"> </w:t>
      </w:r>
      <w:r>
        <w:rPr>
          <w:sz w:val="24"/>
        </w:rPr>
        <w:t>strategy;</w:t>
      </w:r>
    </w:p>
    <w:p w14:paraId="2A3F1645" w14:textId="77777777" w:rsidR="00344193" w:rsidRDefault="00344193" w:rsidP="00344193">
      <w:pPr>
        <w:pStyle w:val="ListParagraph"/>
        <w:numPr>
          <w:ilvl w:val="2"/>
          <w:numId w:val="13"/>
        </w:numPr>
        <w:tabs>
          <w:tab w:val="left" w:pos="1320"/>
          <w:tab w:val="left" w:pos="1321"/>
        </w:tabs>
        <w:spacing w:before="40"/>
        <w:ind w:left="1320" w:hanging="361"/>
        <w:rPr>
          <w:sz w:val="24"/>
        </w:rPr>
      </w:pPr>
      <w:r>
        <w:rPr>
          <w:sz w:val="24"/>
        </w:rPr>
        <w:t>copies of relevant policies;</w:t>
      </w:r>
      <w:r>
        <w:rPr>
          <w:spacing w:val="-3"/>
          <w:sz w:val="24"/>
        </w:rPr>
        <w:t xml:space="preserve"> </w:t>
      </w:r>
      <w:r>
        <w:rPr>
          <w:sz w:val="24"/>
        </w:rPr>
        <w:t>and</w:t>
      </w:r>
    </w:p>
    <w:p w14:paraId="51462FA7" w14:textId="77777777" w:rsidR="00344193" w:rsidRDefault="00344193" w:rsidP="00344193">
      <w:pPr>
        <w:pStyle w:val="ListParagraph"/>
        <w:numPr>
          <w:ilvl w:val="2"/>
          <w:numId w:val="13"/>
        </w:numPr>
        <w:tabs>
          <w:tab w:val="left" w:pos="1320"/>
          <w:tab w:val="left" w:pos="1321"/>
        </w:tabs>
        <w:spacing w:before="39" w:line="273" w:lineRule="auto"/>
        <w:ind w:left="1320" w:right="437" w:hanging="360"/>
        <w:rPr>
          <w:sz w:val="24"/>
        </w:rPr>
      </w:pPr>
      <w:r>
        <w:rPr>
          <w:sz w:val="24"/>
        </w:rPr>
        <w:t>other documents and reports as required which are within the ARAC’s terms of</w:t>
      </w:r>
      <w:r>
        <w:rPr>
          <w:spacing w:val="1"/>
          <w:sz w:val="24"/>
        </w:rPr>
        <w:t xml:space="preserve"> </w:t>
      </w:r>
      <w:r>
        <w:rPr>
          <w:sz w:val="24"/>
        </w:rPr>
        <w:t>reference.</w:t>
      </w:r>
    </w:p>
    <w:p w14:paraId="0C9F0AAA" w14:textId="77777777" w:rsidR="00344193" w:rsidRDefault="00344193" w:rsidP="00344193">
      <w:pPr>
        <w:spacing w:line="273" w:lineRule="auto"/>
        <w:rPr>
          <w:sz w:val="24"/>
        </w:rPr>
        <w:sectPr w:rsidR="00344193">
          <w:pgSz w:w="11910" w:h="16840"/>
          <w:pgMar w:top="1340" w:right="1220" w:bottom="1240" w:left="840" w:header="0" w:footer="1054" w:gutter="0"/>
          <w:cols w:space="720"/>
        </w:sectPr>
      </w:pPr>
    </w:p>
    <w:p w14:paraId="4C68CBF0" w14:textId="77777777" w:rsidR="00344193" w:rsidRDefault="00344193" w:rsidP="00344193">
      <w:pPr>
        <w:pStyle w:val="Heading1"/>
        <w:jc w:val="both"/>
      </w:pPr>
      <w:r>
        <w:lastRenderedPageBreak/>
        <w:t>Annex B</w:t>
      </w:r>
    </w:p>
    <w:p w14:paraId="6B648828" w14:textId="77777777" w:rsidR="00344193" w:rsidRDefault="00344193" w:rsidP="00344193">
      <w:pPr>
        <w:spacing w:before="256"/>
        <w:ind w:left="600"/>
        <w:jc w:val="both"/>
        <w:rPr>
          <w:b/>
          <w:sz w:val="32"/>
        </w:rPr>
      </w:pPr>
      <w:r>
        <w:rPr>
          <w:b/>
          <w:sz w:val="32"/>
        </w:rPr>
        <w:t>Advisory Board – Terms of Reference</w:t>
      </w:r>
    </w:p>
    <w:p w14:paraId="3029E9FC" w14:textId="77777777" w:rsidR="00344106" w:rsidRDefault="00344106" w:rsidP="00344106">
      <w:pPr>
        <w:pStyle w:val="BodyText"/>
        <w:spacing w:before="256"/>
        <w:ind w:left="600"/>
        <w:jc w:val="both"/>
      </w:pPr>
      <w:r>
        <w:rPr>
          <w:u w:val="single"/>
        </w:rPr>
        <w:t>Role of the Advisory Board</w:t>
      </w:r>
    </w:p>
    <w:p w14:paraId="530237E5" w14:textId="77777777" w:rsidR="00344106" w:rsidRDefault="00344106" w:rsidP="00344106">
      <w:pPr>
        <w:pStyle w:val="BodyText"/>
        <w:spacing w:before="44" w:line="276" w:lineRule="auto"/>
        <w:ind w:left="600" w:right="214"/>
        <w:jc w:val="both"/>
      </w:pPr>
      <w:r>
        <w:t xml:space="preserve">The Advisory Board is a non-statutory forum whose main role is to provide support and advice to THO The Advisory Board brings an external perspective to assist THO in leadership, good governance and the development of the organisation. </w:t>
      </w:r>
    </w:p>
    <w:p w14:paraId="172733BF" w14:textId="77777777" w:rsidR="00344106" w:rsidRDefault="00344106" w:rsidP="00344106">
      <w:pPr>
        <w:pStyle w:val="BodyText"/>
        <w:spacing w:before="7"/>
        <w:rPr>
          <w:sz w:val="27"/>
        </w:rPr>
      </w:pPr>
    </w:p>
    <w:p w14:paraId="55F8DAE9" w14:textId="77777777" w:rsidR="00344106" w:rsidRDefault="00344106" w:rsidP="00344106">
      <w:pPr>
        <w:pStyle w:val="BodyText"/>
        <w:spacing w:line="276" w:lineRule="auto"/>
        <w:ind w:left="600" w:right="505"/>
      </w:pPr>
      <w:r>
        <w:rPr>
          <w:color w:val="1F1F1F"/>
        </w:rPr>
        <w:t xml:space="preserve">Members of the Advisory Board will be available for THO to consult individually and collectively as and when THO deems it useful. The members of the Advisory Board have an advisory </w:t>
      </w:r>
      <w:r>
        <w:rPr>
          <w:color w:val="343434"/>
        </w:rPr>
        <w:t xml:space="preserve">function </w:t>
      </w:r>
      <w:r>
        <w:rPr>
          <w:color w:val="1F1F1F"/>
        </w:rPr>
        <w:t>only and have no executive functions or decision-making remit.</w:t>
      </w:r>
    </w:p>
    <w:p w14:paraId="46F30325" w14:textId="77777777" w:rsidR="00344106" w:rsidRDefault="00344106" w:rsidP="00344106">
      <w:pPr>
        <w:pStyle w:val="BodyText"/>
        <w:spacing w:before="7"/>
        <w:rPr>
          <w:sz w:val="27"/>
        </w:rPr>
      </w:pPr>
    </w:p>
    <w:p w14:paraId="73CC8EDC" w14:textId="77777777" w:rsidR="00344106" w:rsidRDefault="00344106" w:rsidP="00344106">
      <w:pPr>
        <w:pStyle w:val="BodyText"/>
        <w:spacing w:line="276" w:lineRule="auto"/>
        <w:ind w:left="600"/>
      </w:pPr>
      <w:r>
        <w:t>The Advisory Board provides specific advice and support to THO on the development and implementation of:</w:t>
      </w:r>
    </w:p>
    <w:p w14:paraId="099187C2" w14:textId="77777777" w:rsidR="00344106" w:rsidRDefault="00344106" w:rsidP="00344106">
      <w:pPr>
        <w:pStyle w:val="BodyText"/>
        <w:spacing w:before="3"/>
        <w:rPr>
          <w:sz w:val="27"/>
        </w:rPr>
      </w:pPr>
    </w:p>
    <w:p w14:paraId="2F11DE71" w14:textId="77777777" w:rsidR="00344106" w:rsidRDefault="00344106" w:rsidP="00344106">
      <w:pPr>
        <w:pStyle w:val="ListParagraph"/>
        <w:numPr>
          <w:ilvl w:val="2"/>
          <w:numId w:val="13"/>
        </w:numPr>
        <w:tabs>
          <w:tab w:val="left" w:pos="1320"/>
          <w:tab w:val="left" w:pos="1321"/>
        </w:tabs>
        <w:ind w:left="1320" w:hanging="361"/>
        <w:rPr>
          <w:sz w:val="24"/>
        </w:rPr>
      </w:pPr>
      <w:r>
        <w:rPr>
          <w:sz w:val="24"/>
        </w:rPr>
        <w:t>vision, values and</w:t>
      </w:r>
      <w:r>
        <w:rPr>
          <w:spacing w:val="-1"/>
          <w:sz w:val="24"/>
        </w:rPr>
        <w:t xml:space="preserve"> </w:t>
      </w:r>
      <w:r>
        <w:rPr>
          <w:sz w:val="24"/>
        </w:rPr>
        <w:t>objectives;</w:t>
      </w:r>
    </w:p>
    <w:p w14:paraId="5B8F5B08" w14:textId="77777777" w:rsidR="00344106" w:rsidRDefault="00344106" w:rsidP="00344106">
      <w:pPr>
        <w:pStyle w:val="ListParagraph"/>
        <w:numPr>
          <w:ilvl w:val="2"/>
          <w:numId w:val="13"/>
        </w:numPr>
        <w:tabs>
          <w:tab w:val="left" w:pos="1320"/>
          <w:tab w:val="left" w:pos="1321"/>
        </w:tabs>
        <w:spacing w:before="40"/>
        <w:ind w:left="1320" w:hanging="361"/>
        <w:rPr>
          <w:sz w:val="24"/>
        </w:rPr>
      </w:pPr>
      <w:r>
        <w:rPr>
          <w:sz w:val="24"/>
        </w:rPr>
        <w:t>strategic direction and business</w:t>
      </w:r>
      <w:r>
        <w:rPr>
          <w:spacing w:val="-4"/>
          <w:sz w:val="24"/>
        </w:rPr>
        <w:t xml:space="preserve"> </w:t>
      </w:r>
      <w:r>
        <w:rPr>
          <w:sz w:val="24"/>
        </w:rPr>
        <w:t>planning;</w:t>
      </w:r>
    </w:p>
    <w:p w14:paraId="25A434C6" w14:textId="77777777" w:rsidR="00344106" w:rsidRDefault="00344106" w:rsidP="00344106">
      <w:pPr>
        <w:pStyle w:val="ListParagraph"/>
        <w:numPr>
          <w:ilvl w:val="2"/>
          <w:numId w:val="13"/>
        </w:numPr>
        <w:tabs>
          <w:tab w:val="left" w:pos="1320"/>
          <w:tab w:val="left" w:pos="1321"/>
        </w:tabs>
        <w:spacing w:before="39"/>
        <w:ind w:left="1320" w:hanging="361"/>
        <w:rPr>
          <w:sz w:val="24"/>
        </w:rPr>
      </w:pPr>
      <w:r>
        <w:rPr>
          <w:sz w:val="24"/>
        </w:rPr>
        <w:t>public accountability for the subscriptions</w:t>
      </w:r>
      <w:r>
        <w:rPr>
          <w:spacing w:val="-4"/>
          <w:sz w:val="24"/>
        </w:rPr>
        <w:t xml:space="preserve"> </w:t>
      </w:r>
      <w:r>
        <w:rPr>
          <w:sz w:val="24"/>
        </w:rPr>
        <w:t>received.</w:t>
      </w:r>
    </w:p>
    <w:p w14:paraId="278954DE" w14:textId="77777777" w:rsidR="00344106" w:rsidRDefault="00344106" w:rsidP="00344106">
      <w:pPr>
        <w:pStyle w:val="BodyText"/>
        <w:rPr>
          <w:u w:val="single"/>
        </w:rPr>
      </w:pPr>
    </w:p>
    <w:p w14:paraId="5A898052" w14:textId="77777777" w:rsidR="00344106" w:rsidRDefault="00344106" w:rsidP="00344106">
      <w:pPr>
        <w:pStyle w:val="BodyText"/>
        <w:ind w:left="600"/>
      </w:pPr>
      <w:r>
        <w:rPr>
          <w:u w:val="single"/>
        </w:rPr>
        <w:t>Membership</w:t>
      </w:r>
    </w:p>
    <w:p w14:paraId="680CA20D" w14:textId="77777777" w:rsidR="00344106" w:rsidRDefault="00344106" w:rsidP="00344106">
      <w:pPr>
        <w:pStyle w:val="BodyText"/>
        <w:spacing w:before="1"/>
        <w:rPr>
          <w:sz w:val="23"/>
        </w:rPr>
      </w:pPr>
    </w:p>
    <w:p w14:paraId="47B1CBE0" w14:textId="77777777" w:rsidR="00344106" w:rsidRDefault="00344106" w:rsidP="00344106">
      <w:pPr>
        <w:pStyle w:val="BodyText"/>
        <w:spacing w:before="92"/>
        <w:ind w:left="600"/>
      </w:pPr>
      <w:r>
        <w:t xml:space="preserve">Membership </w:t>
      </w:r>
      <w:r w:rsidRPr="00BD738F">
        <w:t>comprises a minimum of:</w:t>
      </w:r>
    </w:p>
    <w:p w14:paraId="0AE73395" w14:textId="77777777" w:rsidR="00344106" w:rsidRDefault="00344106" w:rsidP="00344106">
      <w:pPr>
        <w:pStyle w:val="ListParagraph"/>
        <w:numPr>
          <w:ilvl w:val="2"/>
          <w:numId w:val="13"/>
        </w:numPr>
        <w:tabs>
          <w:tab w:val="left" w:pos="1320"/>
          <w:tab w:val="left" w:pos="1321"/>
        </w:tabs>
        <w:spacing w:before="39"/>
        <w:ind w:left="1320" w:hanging="361"/>
        <w:rPr>
          <w:sz w:val="24"/>
        </w:rPr>
      </w:pPr>
      <w:r>
        <w:rPr>
          <w:sz w:val="24"/>
        </w:rPr>
        <w:t>two HOS representatives, one of whom shall be THO who will Chair meetings of the</w:t>
      </w:r>
      <w:r>
        <w:rPr>
          <w:spacing w:val="-2"/>
          <w:sz w:val="24"/>
        </w:rPr>
        <w:t xml:space="preserve"> </w:t>
      </w:r>
      <w:r>
        <w:rPr>
          <w:sz w:val="24"/>
        </w:rPr>
        <w:t>Panel;</w:t>
      </w:r>
    </w:p>
    <w:p w14:paraId="62B2A17C" w14:textId="77777777" w:rsidR="00344106" w:rsidRDefault="00344106" w:rsidP="00344106">
      <w:pPr>
        <w:pStyle w:val="ListParagraph"/>
        <w:numPr>
          <w:ilvl w:val="2"/>
          <w:numId w:val="13"/>
        </w:numPr>
        <w:tabs>
          <w:tab w:val="left" w:pos="1320"/>
          <w:tab w:val="left" w:pos="1321"/>
        </w:tabs>
        <w:spacing w:before="40"/>
        <w:ind w:left="1320" w:hanging="361"/>
        <w:rPr>
          <w:sz w:val="24"/>
        </w:rPr>
      </w:pPr>
      <w:r>
        <w:rPr>
          <w:sz w:val="24"/>
        </w:rPr>
        <w:t>two ex-officio members of the ARAC, one of whom shall be the ARAC Chair;</w:t>
      </w:r>
      <w:r>
        <w:rPr>
          <w:spacing w:val="-8"/>
          <w:sz w:val="24"/>
        </w:rPr>
        <w:t xml:space="preserve"> </w:t>
      </w:r>
      <w:r>
        <w:rPr>
          <w:sz w:val="24"/>
        </w:rPr>
        <w:t>and</w:t>
      </w:r>
    </w:p>
    <w:p w14:paraId="79EA0163" w14:textId="77777777" w:rsidR="00344106" w:rsidRDefault="00344106" w:rsidP="00344106">
      <w:pPr>
        <w:pStyle w:val="ListParagraph"/>
        <w:numPr>
          <w:ilvl w:val="2"/>
          <w:numId w:val="13"/>
        </w:numPr>
        <w:tabs>
          <w:tab w:val="left" w:pos="1320"/>
          <w:tab w:val="left" w:pos="1321"/>
        </w:tabs>
        <w:spacing w:before="39" w:line="273" w:lineRule="auto"/>
        <w:ind w:left="1320" w:right="584" w:hanging="360"/>
        <w:rPr>
          <w:sz w:val="24"/>
        </w:rPr>
      </w:pPr>
      <w:r>
        <w:rPr>
          <w:sz w:val="24"/>
        </w:rPr>
        <w:t>two external members who will be appointed by THO following an open and transparent selection process which will involve MHCLG representation on the interview</w:t>
      </w:r>
      <w:r>
        <w:rPr>
          <w:spacing w:val="-9"/>
          <w:sz w:val="24"/>
        </w:rPr>
        <w:t xml:space="preserve"> </w:t>
      </w:r>
      <w:r>
        <w:rPr>
          <w:sz w:val="24"/>
        </w:rPr>
        <w:t>panel.</w:t>
      </w:r>
    </w:p>
    <w:p w14:paraId="21443006" w14:textId="77777777" w:rsidR="00344106" w:rsidRDefault="00344106" w:rsidP="00344106">
      <w:pPr>
        <w:pStyle w:val="BodyText"/>
        <w:spacing w:before="2"/>
        <w:rPr>
          <w:sz w:val="28"/>
        </w:rPr>
      </w:pPr>
    </w:p>
    <w:p w14:paraId="4FF30FCD" w14:textId="77777777" w:rsidR="00344106" w:rsidRDefault="00344106" w:rsidP="00344106">
      <w:pPr>
        <w:pStyle w:val="BodyText"/>
        <w:ind w:left="600"/>
      </w:pPr>
      <w:r>
        <w:t>The Ombudsman may also, following consultation with the Advisory Board:</w:t>
      </w:r>
    </w:p>
    <w:p w14:paraId="3AB1F919" w14:textId="77777777" w:rsidR="00344106" w:rsidRDefault="00344106" w:rsidP="00344106">
      <w:pPr>
        <w:pStyle w:val="BodyText"/>
        <w:rPr>
          <w:sz w:val="31"/>
        </w:rPr>
      </w:pPr>
    </w:p>
    <w:p w14:paraId="58AE14D0" w14:textId="77777777" w:rsidR="00344106" w:rsidRDefault="00344106" w:rsidP="00344106">
      <w:pPr>
        <w:pStyle w:val="ListParagraph"/>
        <w:numPr>
          <w:ilvl w:val="2"/>
          <w:numId w:val="13"/>
        </w:numPr>
        <w:tabs>
          <w:tab w:val="left" w:pos="1320"/>
          <w:tab w:val="left" w:pos="1321"/>
        </w:tabs>
        <w:spacing w:line="273" w:lineRule="auto"/>
        <w:ind w:left="1320" w:right="1050" w:hanging="360"/>
        <w:rPr>
          <w:sz w:val="24"/>
        </w:rPr>
      </w:pPr>
      <w:r>
        <w:rPr>
          <w:sz w:val="24"/>
        </w:rPr>
        <w:t>co-opt up to two additional members for a period not exceeding a year to provide specialist skills, knowledge and</w:t>
      </w:r>
      <w:r>
        <w:rPr>
          <w:spacing w:val="-1"/>
          <w:sz w:val="24"/>
        </w:rPr>
        <w:t xml:space="preserve"> </w:t>
      </w:r>
      <w:r>
        <w:rPr>
          <w:sz w:val="24"/>
        </w:rPr>
        <w:t>experience.</w:t>
      </w:r>
    </w:p>
    <w:p w14:paraId="29615C83" w14:textId="77777777" w:rsidR="00344106" w:rsidRDefault="00344106" w:rsidP="00344106">
      <w:pPr>
        <w:pStyle w:val="BodyText"/>
        <w:spacing w:before="11"/>
        <w:rPr>
          <w:sz w:val="27"/>
        </w:rPr>
      </w:pPr>
    </w:p>
    <w:p w14:paraId="1726C51D" w14:textId="77777777" w:rsidR="00344106" w:rsidRDefault="00344106" w:rsidP="00344106">
      <w:pPr>
        <w:pStyle w:val="BodyText"/>
        <w:ind w:left="600"/>
      </w:pPr>
      <w:r>
        <w:t>Appointments to the Advisory Board will be for three years and may be extended once.</w:t>
      </w:r>
    </w:p>
    <w:p w14:paraId="4564B3DD" w14:textId="77777777" w:rsidR="00344106" w:rsidRDefault="00344106" w:rsidP="00344106">
      <w:pPr>
        <w:pStyle w:val="BodyText"/>
        <w:spacing w:before="1"/>
        <w:rPr>
          <w:sz w:val="31"/>
        </w:rPr>
      </w:pPr>
    </w:p>
    <w:p w14:paraId="43550651" w14:textId="77777777" w:rsidR="00344106" w:rsidRPr="003E5CAE" w:rsidRDefault="00344106" w:rsidP="00344106">
      <w:pPr>
        <w:pStyle w:val="BodyText"/>
        <w:spacing w:before="42" w:line="276" w:lineRule="auto"/>
        <w:ind w:left="600" w:right="306"/>
      </w:pPr>
      <w:r>
        <w:rPr>
          <w:u w:val="single"/>
        </w:rPr>
        <w:t>Meetings</w:t>
      </w:r>
    </w:p>
    <w:p w14:paraId="2FE033E2" w14:textId="77777777" w:rsidR="00344106" w:rsidRDefault="00344106" w:rsidP="00344106">
      <w:pPr>
        <w:pStyle w:val="BodyText"/>
        <w:spacing w:before="42" w:line="276" w:lineRule="auto"/>
        <w:ind w:left="600" w:right="306"/>
      </w:pPr>
    </w:p>
    <w:p w14:paraId="47333281" w14:textId="77777777" w:rsidR="00344106" w:rsidRDefault="00344106" w:rsidP="00344106">
      <w:pPr>
        <w:pStyle w:val="BodyText"/>
        <w:spacing w:before="42" w:line="276" w:lineRule="auto"/>
        <w:ind w:left="600" w:right="306"/>
      </w:pPr>
      <w:r>
        <w:t>The Advisory Board will meet at least four times a year. The Ombudsman may convene additional meetings, as they deem necessary.</w:t>
      </w:r>
    </w:p>
    <w:p w14:paraId="12254AB2" w14:textId="77777777" w:rsidR="00344106" w:rsidRDefault="00344106" w:rsidP="00344106">
      <w:pPr>
        <w:pStyle w:val="BodyText"/>
        <w:spacing w:before="42" w:line="276" w:lineRule="auto"/>
        <w:ind w:left="600" w:right="306"/>
      </w:pPr>
    </w:p>
    <w:p w14:paraId="3BAF3B3F" w14:textId="77777777" w:rsidR="00344106" w:rsidRDefault="00344106" w:rsidP="00344106">
      <w:pPr>
        <w:pStyle w:val="BodyText"/>
        <w:spacing w:line="278" w:lineRule="auto"/>
        <w:ind w:left="600" w:right="813"/>
      </w:pPr>
      <w:r>
        <w:lastRenderedPageBreak/>
        <w:t>A minimum of two non-HOS members of the Advisory Board must be present for the meeting to be deemed quorate.</w:t>
      </w:r>
    </w:p>
    <w:p w14:paraId="4C80BCA6" w14:textId="77777777" w:rsidR="00344106" w:rsidRDefault="00344106" w:rsidP="00344106">
      <w:pPr>
        <w:pStyle w:val="BodyText"/>
        <w:spacing w:before="9"/>
        <w:rPr>
          <w:sz w:val="27"/>
        </w:rPr>
      </w:pPr>
    </w:p>
    <w:p w14:paraId="01D20134" w14:textId="77777777" w:rsidR="00344106" w:rsidRDefault="00344106" w:rsidP="00344106">
      <w:pPr>
        <w:ind w:left="600"/>
        <w:rPr>
          <w:sz w:val="24"/>
          <w:szCs w:val="24"/>
        </w:rPr>
      </w:pPr>
      <w:r w:rsidRPr="00BD738F">
        <w:rPr>
          <w:sz w:val="24"/>
          <w:szCs w:val="24"/>
        </w:rPr>
        <w:t>The Advisory Board will be provided with a secretariat function.</w:t>
      </w:r>
    </w:p>
    <w:p w14:paraId="7084D3A5" w14:textId="77777777" w:rsidR="00344106" w:rsidRDefault="00344106" w:rsidP="00344106">
      <w:pPr>
        <w:ind w:left="600"/>
        <w:rPr>
          <w:sz w:val="24"/>
          <w:szCs w:val="24"/>
        </w:rPr>
      </w:pPr>
    </w:p>
    <w:p w14:paraId="32B86425" w14:textId="77777777" w:rsidR="00344106" w:rsidRPr="00C86B1F" w:rsidRDefault="00344106" w:rsidP="00344106">
      <w:pPr>
        <w:ind w:left="600"/>
        <w:rPr>
          <w:sz w:val="24"/>
          <w:szCs w:val="24"/>
        </w:rPr>
      </w:pPr>
      <w:r w:rsidRPr="00C86B1F">
        <w:rPr>
          <w:sz w:val="24"/>
          <w:szCs w:val="24"/>
        </w:rPr>
        <w:t>Other HOS staff may attend Advisory Board meetings but are not formally members of the Advisory Board.</w:t>
      </w:r>
    </w:p>
    <w:p w14:paraId="66E6ABF1" w14:textId="77777777" w:rsidR="00344106" w:rsidRDefault="00344106" w:rsidP="00344106">
      <w:pPr>
        <w:pStyle w:val="BodyText"/>
        <w:spacing w:before="7"/>
        <w:rPr>
          <w:sz w:val="27"/>
        </w:rPr>
      </w:pPr>
    </w:p>
    <w:p w14:paraId="3A5F27D9" w14:textId="77777777" w:rsidR="00344106" w:rsidRDefault="00344106" w:rsidP="00344106">
      <w:pPr>
        <w:pStyle w:val="BodyText"/>
        <w:spacing w:line="276" w:lineRule="auto"/>
        <w:ind w:left="600" w:right="291"/>
      </w:pPr>
      <w:r>
        <w:rPr>
          <w:color w:val="1F1F1F"/>
        </w:rPr>
        <w:t xml:space="preserve">Members of the Advisory Board </w:t>
      </w:r>
      <w:r>
        <w:rPr>
          <w:color w:val="242424"/>
        </w:rPr>
        <w:t xml:space="preserve">will act in accordance with </w:t>
      </w:r>
      <w:r>
        <w:rPr>
          <w:color w:val="121212"/>
        </w:rPr>
        <w:t xml:space="preserve">the </w:t>
      </w:r>
      <w:r>
        <w:rPr>
          <w:color w:val="242424"/>
        </w:rPr>
        <w:t>principles of the Cabinet Office</w:t>
      </w:r>
      <w:r>
        <w:rPr>
          <w:color w:val="505050"/>
        </w:rPr>
        <w:t>'</w:t>
      </w:r>
      <w:r>
        <w:rPr>
          <w:color w:val="242424"/>
        </w:rPr>
        <w:t>s Code of Conduct for Board Members of Public Bodies. Members will also uphold the seven principles of the Committee on Standards in Public Life’s guidance (the Nolan Principles), namely:</w:t>
      </w:r>
    </w:p>
    <w:p w14:paraId="6F888DDD" w14:textId="77777777" w:rsidR="00344106" w:rsidRDefault="00344106" w:rsidP="00344106">
      <w:pPr>
        <w:pStyle w:val="BodyText"/>
        <w:spacing w:before="6"/>
        <w:rPr>
          <w:sz w:val="27"/>
        </w:rPr>
      </w:pPr>
    </w:p>
    <w:p w14:paraId="64B755E9" w14:textId="77777777" w:rsidR="00344106" w:rsidRDefault="00344106" w:rsidP="00344106">
      <w:pPr>
        <w:pStyle w:val="ListParagraph"/>
        <w:numPr>
          <w:ilvl w:val="0"/>
          <w:numId w:val="2"/>
        </w:numPr>
        <w:tabs>
          <w:tab w:val="left" w:pos="1321"/>
        </w:tabs>
        <w:spacing w:before="1"/>
        <w:ind w:hanging="361"/>
        <w:rPr>
          <w:sz w:val="24"/>
        </w:rPr>
      </w:pPr>
      <w:r>
        <w:rPr>
          <w:color w:val="242424"/>
          <w:sz w:val="24"/>
        </w:rPr>
        <w:t>Selflessness</w:t>
      </w:r>
    </w:p>
    <w:p w14:paraId="6867CAF2" w14:textId="77777777" w:rsidR="00344106" w:rsidRDefault="00344106" w:rsidP="00344106">
      <w:pPr>
        <w:pStyle w:val="ListParagraph"/>
        <w:numPr>
          <w:ilvl w:val="0"/>
          <w:numId w:val="2"/>
        </w:numPr>
        <w:tabs>
          <w:tab w:val="left" w:pos="1321"/>
        </w:tabs>
        <w:spacing w:before="41"/>
        <w:ind w:hanging="361"/>
        <w:rPr>
          <w:sz w:val="24"/>
        </w:rPr>
      </w:pPr>
      <w:r>
        <w:rPr>
          <w:color w:val="242424"/>
          <w:sz w:val="24"/>
        </w:rPr>
        <w:t>Integrity</w:t>
      </w:r>
    </w:p>
    <w:p w14:paraId="70E1970E" w14:textId="77777777" w:rsidR="00344106" w:rsidRDefault="00344106" w:rsidP="00344106">
      <w:pPr>
        <w:pStyle w:val="ListParagraph"/>
        <w:numPr>
          <w:ilvl w:val="0"/>
          <w:numId w:val="2"/>
        </w:numPr>
        <w:tabs>
          <w:tab w:val="left" w:pos="1321"/>
        </w:tabs>
        <w:spacing w:before="43"/>
        <w:ind w:hanging="361"/>
        <w:rPr>
          <w:sz w:val="24"/>
        </w:rPr>
      </w:pPr>
      <w:r>
        <w:rPr>
          <w:color w:val="242424"/>
          <w:sz w:val="24"/>
        </w:rPr>
        <w:t>Objectivity</w:t>
      </w:r>
    </w:p>
    <w:p w14:paraId="196CD891" w14:textId="77777777" w:rsidR="00344106" w:rsidRDefault="00344106" w:rsidP="00344106">
      <w:pPr>
        <w:pStyle w:val="ListParagraph"/>
        <w:numPr>
          <w:ilvl w:val="0"/>
          <w:numId w:val="2"/>
        </w:numPr>
        <w:tabs>
          <w:tab w:val="left" w:pos="1321"/>
        </w:tabs>
        <w:spacing w:before="41"/>
        <w:ind w:hanging="361"/>
        <w:rPr>
          <w:sz w:val="24"/>
        </w:rPr>
      </w:pPr>
      <w:r>
        <w:rPr>
          <w:sz w:val="24"/>
        </w:rPr>
        <w:t>Accountability</w:t>
      </w:r>
    </w:p>
    <w:p w14:paraId="7FBCFC7A" w14:textId="77777777" w:rsidR="00344106" w:rsidRDefault="00344106" w:rsidP="00344106">
      <w:pPr>
        <w:pStyle w:val="ListParagraph"/>
        <w:numPr>
          <w:ilvl w:val="0"/>
          <w:numId w:val="2"/>
        </w:numPr>
        <w:tabs>
          <w:tab w:val="left" w:pos="1321"/>
        </w:tabs>
        <w:spacing w:before="41"/>
        <w:ind w:hanging="361"/>
        <w:rPr>
          <w:sz w:val="24"/>
        </w:rPr>
      </w:pPr>
      <w:r>
        <w:rPr>
          <w:sz w:val="24"/>
        </w:rPr>
        <w:t>Openness</w:t>
      </w:r>
    </w:p>
    <w:p w14:paraId="102ED14E" w14:textId="77777777" w:rsidR="00344106" w:rsidRDefault="00344106" w:rsidP="00344106">
      <w:pPr>
        <w:pStyle w:val="ListParagraph"/>
        <w:numPr>
          <w:ilvl w:val="0"/>
          <w:numId w:val="2"/>
        </w:numPr>
        <w:tabs>
          <w:tab w:val="left" w:pos="1321"/>
        </w:tabs>
        <w:spacing w:before="41"/>
        <w:ind w:hanging="361"/>
        <w:rPr>
          <w:sz w:val="24"/>
        </w:rPr>
      </w:pPr>
      <w:r>
        <w:rPr>
          <w:sz w:val="24"/>
        </w:rPr>
        <w:t>Honesty</w:t>
      </w:r>
    </w:p>
    <w:p w14:paraId="6F204FE9" w14:textId="77777777" w:rsidR="00344106" w:rsidRDefault="00344106" w:rsidP="00344106">
      <w:pPr>
        <w:pStyle w:val="ListParagraph"/>
        <w:numPr>
          <w:ilvl w:val="0"/>
          <w:numId w:val="2"/>
        </w:numPr>
        <w:tabs>
          <w:tab w:val="left" w:pos="1321"/>
        </w:tabs>
        <w:spacing w:before="43"/>
        <w:ind w:hanging="361"/>
        <w:rPr>
          <w:sz w:val="24"/>
        </w:rPr>
      </w:pPr>
      <w:r>
        <w:rPr>
          <w:sz w:val="24"/>
        </w:rPr>
        <w:t>Leadership</w:t>
      </w:r>
    </w:p>
    <w:p w14:paraId="45A68EC9" w14:textId="77777777" w:rsidR="00344106" w:rsidRDefault="00344106" w:rsidP="00344106">
      <w:pPr>
        <w:pStyle w:val="BodyText"/>
        <w:spacing w:before="1"/>
        <w:rPr>
          <w:sz w:val="31"/>
        </w:rPr>
      </w:pPr>
    </w:p>
    <w:p w14:paraId="21C099A7" w14:textId="77777777" w:rsidR="00344106" w:rsidRDefault="00344106" w:rsidP="00344106">
      <w:pPr>
        <w:pStyle w:val="BodyText"/>
        <w:spacing w:line="276" w:lineRule="auto"/>
        <w:ind w:left="600" w:right="518"/>
      </w:pPr>
      <w:r>
        <w:rPr>
          <w:color w:val="242424"/>
        </w:rPr>
        <w:t>Membership of the Advisory Board will be in the public domain and members will be able to acknowledge their membership</w:t>
      </w:r>
      <w:r>
        <w:rPr>
          <w:color w:val="414141"/>
        </w:rPr>
        <w:t xml:space="preserve">. </w:t>
      </w:r>
      <w:r>
        <w:t>Membership is personal and is not transferable to others within the same organisation, so Advisory Board members are required to attend meetings themselves and not send substitutes.</w:t>
      </w:r>
    </w:p>
    <w:p w14:paraId="74D34CF8" w14:textId="77777777" w:rsidR="00344106" w:rsidRDefault="00344106" w:rsidP="00344106">
      <w:pPr>
        <w:pStyle w:val="BodyText"/>
        <w:spacing w:before="7"/>
        <w:rPr>
          <w:sz w:val="27"/>
        </w:rPr>
      </w:pPr>
    </w:p>
    <w:p w14:paraId="693CB3DD" w14:textId="77777777" w:rsidR="00344106" w:rsidRPr="007E3B6A" w:rsidRDefault="00344106" w:rsidP="00344106">
      <w:pPr>
        <w:pStyle w:val="BodyText"/>
        <w:spacing w:line="276" w:lineRule="auto"/>
        <w:ind w:left="600" w:right="386"/>
      </w:pPr>
      <w:r>
        <w:t>Members of the Advisory Board must declare any personal or business interests which may, or may be perceived to, influence their judgement in performing their role</w:t>
      </w:r>
      <w:r w:rsidRPr="007E3B6A">
        <w:t>. These interests will be included in a register of interests, maintained by HO</w:t>
      </w:r>
      <w:r>
        <w:t>S</w:t>
      </w:r>
      <w:r w:rsidRPr="007E3B6A">
        <w:t>, which will be made available on the HO</w:t>
      </w:r>
      <w:r>
        <w:t>S</w:t>
      </w:r>
      <w:r w:rsidRPr="007E3B6A">
        <w:t xml:space="preserve"> website. Members of the </w:t>
      </w:r>
      <w:r>
        <w:t xml:space="preserve">Advisory Board </w:t>
      </w:r>
      <w:r w:rsidRPr="007E3B6A">
        <w:t>must ensure that their entries are kept up to date.</w:t>
      </w:r>
    </w:p>
    <w:p w14:paraId="58CD032B" w14:textId="77777777" w:rsidR="00344106" w:rsidRDefault="00344106" w:rsidP="00344106">
      <w:pPr>
        <w:pStyle w:val="BodyText"/>
        <w:spacing w:before="220" w:line="276" w:lineRule="auto"/>
        <w:ind w:left="600" w:right="217"/>
        <w:jc w:val="both"/>
      </w:pPr>
      <w:r>
        <w:rPr>
          <w:color w:val="242424"/>
        </w:rPr>
        <w:t xml:space="preserve">Members of the Advisory Board  will be remunerated in line with non-executive members of similar ALBs.  ARAC members who also sit on the panel will receive an additional fee for being part of the Advisory Board. </w:t>
      </w:r>
    </w:p>
    <w:p w14:paraId="7AB885C7" w14:textId="77777777" w:rsidR="00344106" w:rsidRDefault="00344106">
      <w:pPr>
        <w:rPr>
          <w:b/>
          <w:bCs/>
          <w:sz w:val="32"/>
          <w:szCs w:val="32"/>
        </w:rPr>
      </w:pPr>
      <w:r>
        <w:br w:type="page"/>
      </w:r>
    </w:p>
    <w:p w14:paraId="6C714513" w14:textId="186F23AE" w:rsidR="007B48CC" w:rsidRDefault="00E90905">
      <w:pPr>
        <w:pStyle w:val="Heading1"/>
      </w:pPr>
      <w:r>
        <w:lastRenderedPageBreak/>
        <w:t>Annex C</w:t>
      </w:r>
    </w:p>
    <w:p w14:paraId="5073C9A9" w14:textId="77777777" w:rsidR="007B48CC" w:rsidRDefault="00E90905">
      <w:pPr>
        <w:spacing w:before="256"/>
        <w:ind w:left="600"/>
        <w:rPr>
          <w:b/>
          <w:sz w:val="32"/>
        </w:rPr>
      </w:pPr>
      <w:r>
        <w:rPr>
          <w:b/>
          <w:sz w:val="32"/>
        </w:rPr>
        <w:t>List of government-wide corporate guidance instructions</w:t>
      </w:r>
    </w:p>
    <w:p w14:paraId="050C37A2" w14:textId="77777777" w:rsidR="007B48CC" w:rsidRDefault="00E90905">
      <w:pPr>
        <w:pStyle w:val="BodyText"/>
        <w:spacing w:before="256" w:line="278" w:lineRule="auto"/>
        <w:ind w:left="600" w:right="1066"/>
      </w:pPr>
      <w:r>
        <w:t>In addition to this Framework Document, THO shall comply with the following general guidance documents and instructions:</w:t>
      </w:r>
    </w:p>
    <w:p w14:paraId="40BEF028" w14:textId="77777777" w:rsidR="007B48CC" w:rsidRDefault="00E90905">
      <w:pPr>
        <w:pStyle w:val="ListParagraph"/>
        <w:numPr>
          <w:ilvl w:val="0"/>
          <w:numId w:val="1"/>
        </w:numPr>
        <w:tabs>
          <w:tab w:val="left" w:pos="752"/>
        </w:tabs>
        <w:spacing w:before="195" w:line="276" w:lineRule="auto"/>
        <w:ind w:right="301" w:firstLine="0"/>
        <w:rPr>
          <w:sz w:val="24"/>
        </w:rPr>
      </w:pPr>
      <w:r>
        <w:rPr>
          <w:sz w:val="24"/>
        </w:rPr>
        <w:t xml:space="preserve">Appropriate adaptations of sections of Corporate Governance in Central Government Departments: Code of Good Practice </w:t>
      </w:r>
      <w:r>
        <w:rPr>
          <w:w w:val="95"/>
          <w:sz w:val="24"/>
        </w:rPr>
        <w:t>https://</w:t>
      </w:r>
      <w:hyperlink r:id="rId18">
        <w:r>
          <w:rPr>
            <w:w w:val="95"/>
            <w:sz w:val="24"/>
          </w:rPr>
          <w:t>www.gov.uk/government/publications/corporate-governance-code-for-central-</w:t>
        </w:r>
      </w:hyperlink>
      <w:r>
        <w:rPr>
          <w:w w:val="95"/>
          <w:sz w:val="24"/>
        </w:rPr>
        <w:t xml:space="preserve"> </w:t>
      </w:r>
      <w:r>
        <w:rPr>
          <w:sz w:val="24"/>
        </w:rPr>
        <w:t>government-departments</w:t>
      </w:r>
    </w:p>
    <w:p w14:paraId="7810121C" w14:textId="77777777" w:rsidR="007B48CC" w:rsidRDefault="00E90905">
      <w:pPr>
        <w:pStyle w:val="ListParagraph"/>
        <w:numPr>
          <w:ilvl w:val="0"/>
          <w:numId w:val="1"/>
        </w:numPr>
        <w:tabs>
          <w:tab w:val="left" w:pos="752"/>
        </w:tabs>
        <w:spacing w:before="200" w:line="276" w:lineRule="auto"/>
        <w:ind w:right="340" w:firstLine="0"/>
        <w:rPr>
          <w:sz w:val="24"/>
        </w:rPr>
      </w:pPr>
      <w:r>
        <w:rPr>
          <w:sz w:val="24"/>
        </w:rPr>
        <w:t>Code of Conduct for Board Members of Public Bodies</w:t>
      </w:r>
      <w:hyperlink r:id="rId19">
        <w:r>
          <w:rPr>
            <w:color w:val="0000FF"/>
            <w:sz w:val="24"/>
            <w:u w:val="single" w:color="0000FF"/>
          </w:rPr>
          <w:t xml:space="preserve"> https://www.gov.uk/government/publications/board-members-of-public-bodies-code-</w:t>
        </w:r>
      </w:hyperlink>
      <w:hyperlink r:id="rId20">
        <w:r>
          <w:rPr>
            <w:color w:val="0000FF"/>
            <w:sz w:val="24"/>
            <w:u w:val="single" w:color="0000FF"/>
          </w:rPr>
          <w:t xml:space="preserve"> of-conduct</w:t>
        </w:r>
      </w:hyperlink>
    </w:p>
    <w:p w14:paraId="1B93A560" w14:textId="77777777" w:rsidR="007B48CC" w:rsidRDefault="00E90905">
      <w:pPr>
        <w:pStyle w:val="ListParagraph"/>
        <w:numPr>
          <w:ilvl w:val="0"/>
          <w:numId w:val="1"/>
        </w:numPr>
        <w:tabs>
          <w:tab w:val="left" w:pos="752"/>
        </w:tabs>
        <w:spacing w:before="200" w:line="276" w:lineRule="auto"/>
        <w:ind w:right="448" w:firstLine="0"/>
        <w:rPr>
          <w:sz w:val="24"/>
        </w:rPr>
      </w:pPr>
      <w:r>
        <w:rPr>
          <w:sz w:val="24"/>
        </w:rPr>
        <w:t>Partnerships with arm's length bodies: code of good practice https://</w:t>
      </w:r>
      <w:hyperlink r:id="rId21">
        <w:r>
          <w:rPr>
            <w:sz w:val="24"/>
          </w:rPr>
          <w:t>www.gov.uk/government/publications/partnerships-with-arms-length-bodies-</w:t>
        </w:r>
      </w:hyperlink>
      <w:r>
        <w:rPr>
          <w:sz w:val="24"/>
        </w:rPr>
        <w:t xml:space="preserve"> code-of-good-practice</w:t>
      </w:r>
    </w:p>
    <w:p w14:paraId="0A3C0841" w14:textId="77777777" w:rsidR="007B48CC" w:rsidRDefault="00E90905">
      <w:pPr>
        <w:pStyle w:val="ListParagraph"/>
        <w:numPr>
          <w:ilvl w:val="0"/>
          <w:numId w:val="1"/>
        </w:numPr>
        <w:tabs>
          <w:tab w:val="left" w:pos="752"/>
        </w:tabs>
        <w:spacing w:before="202"/>
        <w:ind w:left="751" w:hanging="152"/>
        <w:rPr>
          <w:sz w:val="24"/>
        </w:rPr>
      </w:pPr>
      <w:r>
        <w:rPr>
          <w:sz w:val="24"/>
        </w:rPr>
        <w:t>DCLG Consolidated Spending Controls</w:t>
      </w:r>
      <w:r>
        <w:rPr>
          <w:spacing w:val="-6"/>
          <w:sz w:val="24"/>
        </w:rPr>
        <w:t xml:space="preserve"> </w:t>
      </w:r>
      <w:r>
        <w:rPr>
          <w:sz w:val="24"/>
        </w:rPr>
        <w:t>Guidance</w:t>
      </w:r>
    </w:p>
    <w:p w14:paraId="3C1557D1" w14:textId="77777777" w:rsidR="007B48CC" w:rsidRDefault="007B48CC">
      <w:pPr>
        <w:pStyle w:val="BodyText"/>
        <w:spacing w:before="8"/>
        <w:rPr>
          <w:sz w:val="20"/>
        </w:rPr>
      </w:pPr>
    </w:p>
    <w:p w14:paraId="19D6BB3A" w14:textId="77777777" w:rsidR="007B48CC" w:rsidRDefault="00E90905">
      <w:pPr>
        <w:pStyle w:val="ListParagraph"/>
        <w:numPr>
          <w:ilvl w:val="0"/>
          <w:numId w:val="1"/>
        </w:numPr>
        <w:tabs>
          <w:tab w:val="left" w:pos="752"/>
        </w:tabs>
        <w:ind w:left="751" w:hanging="152"/>
        <w:rPr>
          <w:i/>
          <w:sz w:val="24"/>
        </w:rPr>
      </w:pPr>
      <w:r>
        <w:rPr>
          <w:i/>
          <w:sz w:val="24"/>
        </w:rPr>
        <w:t>Managing Public Money</w:t>
      </w:r>
      <w:r>
        <w:rPr>
          <w:i/>
          <w:spacing w:val="-1"/>
          <w:sz w:val="24"/>
        </w:rPr>
        <w:t xml:space="preserve"> </w:t>
      </w:r>
      <w:r>
        <w:rPr>
          <w:i/>
          <w:sz w:val="24"/>
        </w:rPr>
        <w:t>(MPM);</w:t>
      </w:r>
    </w:p>
    <w:p w14:paraId="5DD972CA" w14:textId="77777777" w:rsidR="007B48CC" w:rsidRDefault="00E90905">
      <w:pPr>
        <w:pStyle w:val="BodyText"/>
        <w:spacing w:before="44"/>
        <w:ind w:left="600"/>
      </w:pPr>
      <w:r>
        <w:t>specifically:</w:t>
      </w:r>
    </w:p>
    <w:p w14:paraId="7A159D99" w14:textId="77777777" w:rsidR="007B48CC" w:rsidRDefault="007B48CC">
      <w:pPr>
        <w:pStyle w:val="BodyText"/>
        <w:spacing w:before="3"/>
        <w:rPr>
          <w:sz w:val="31"/>
        </w:rPr>
      </w:pPr>
    </w:p>
    <w:p w14:paraId="2A4BFE34" w14:textId="77777777" w:rsidR="007B48CC" w:rsidRDefault="00E90905">
      <w:pPr>
        <w:pStyle w:val="ListParagraph"/>
        <w:numPr>
          <w:ilvl w:val="0"/>
          <w:numId w:val="1"/>
        </w:numPr>
        <w:tabs>
          <w:tab w:val="left" w:pos="752"/>
        </w:tabs>
        <w:ind w:left="751" w:hanging="152"/>
        <w:rPr>
          <w:sz w:val="24"/>
        </w:rPr>
      </w:pPr>
      <w:r>
        <w:rPr>
          <w:sz w:val="24"/>
        </w:rPr>
        <w:t>Fees and Charges Guide, Chapter 6 of Managing Public</w:t>
      </w:r>
      <w:r>
        <w:rPr>
          <w:spacing w:val="-7"/>
          <w:sz w:val="24"/>
        </w:rPr>
        <w:t xml:space="preserve"> </w:t>
      </w:r>
      <w:r>
        <w:rPr>
          <w:sz w:val="24"/>
        </w:rPr>
        <w:t>Money;</w:t>
      </w:r>
    </w:p>
    <w:p w14:paraId="4063E20A" w14:textId="77777777" w:rsidR="007B48CC" w:rsidRDefault="007B48CC">
      <w:pPr>
        <w:pStyle w:val="BodyText"/>
        <w:spacing w:before="10"/>
        <w:rPr>
          <w:sz w:val="20"/>
        </w:rPr>
      </w:pPr>
    </w:p>
    <w:p w14:paraId="52E3689B" w14:textId="77777777" w:rsidR="007B48CC" w:rsidRDefault="00E90905">
      <w:pPr>
        <w:pStyle w:val="ListParagraph"/>
        <w:numPr>
          <w:ilvl w:val="0"/>
          <w:numId w:val="1"/>
        </w:numPr>
        <w:tabs>
          <w:tab w:val="left" w:pos="752"/>
        </w:tabs>
        <w:spacing w:line="278" w:lineRule="auto"/>
        <w:ind w:right="949" w:firstLine="0"/>
        <w:rPr>
          <w:sz w:val="24"/>
        </w:rPr>
      </w:pPr>
      <w:r>
        <w:rPr>
          <w:sz w:val="24"/>
        </w:rPr>
        <w:t>Departmental Banking: A Manual for Government Departments, annex 5.6</w:t>
      </w:r>
      <w:r>
        <w:rPr>
          <w:spacing w:val="-34"/>
          <w:sz w:val="24"/>
        </w:rPr>
        <w:t xml:space="preserve"> </w:t>
      </w:r>
      <w:r>
        <w:rPr>
          <w:sz w:val="24"/>
        </w:rPr>
        <w:t>of Managing Public</w:t>
      </w:r>
      <w:r>
        <w:rPr>
          <w:spacing w:val="-2"/>
          <w:sz w:val="24"/>
        </w:rPr>
        <w:t xml:space="preserve"> </w:t>
      </w:r>
      <w:r>
        <w:rPr>
          <w:sz w:val="24"/>
        </w:rPr>
        <w:t>Money;</w:t>
      </w:r>
    </w:p>
    <w:p w14:paraId="7930ED61" w14:textId="77777777" w:rsidR="007B48CC" w:rsidRDefault="00E90905">
      <w:pPr>
        <w:pStyle w:val="ListParagraph"/>
        <w:numPr>
          <w:ilvl w:val="0"/>
          <w:numId w:val="1"/>
        </w:numPr>
        <w:tabs>
          <w:tab w:val="left" w:pos="752"/>
        </w:tabs>
        <w:spacing w:before="195" w:line="276" w:lineRule="auto"/>
        <w:ind w:right="528" w:firstLine="0"/>
        <w:rPr>
          <w:sz w:val="24"/>
        </w:rPr>
      </w:pPr>
      <w:r>
        <w:rPr>
          <w:sz w:val="24"/>
        </w:rPr>
        <w:t>Public Sector Internal Audit Standards, https://</w:t>
      </w:r>
      <w:hyperlink r:id="rId22">
        <w:r>
          <w:rPr>
            <w:sz w:val="24"/>
          </w:rPr>
          <w:t>www.gov.uk/government/publications/public-sector-internal-audit-standards</w:t>
        </w:r>
      </w:hyperlink>
    </w:p>
    <w:p w14:paraId="650F91BB" w14:textId="77777777" w:rsidR="007B48CC" w:rsidRDefault="00E90905">
      <w:pPr>
        <w:pStyle w:val="ListParagraph"/>
        <w:numPr>
          <w:ilvl w:val="0"/>
          <w:numId w:val="1"/>
        </w:numPr>
        <w:tabs>
          <w:tab w:val="left" w:pos="752"/>
        </w:tabs>
        <w:spacing w:before="201" w:line="276" w:lineRule="auto"/>
        <w:ind w:right="3142" w:firstLine="0"/>
        <w:rPr>
          <w:sz w:val="24"/>
        </w:rPr>
      </w:pPr>
      <w:r>
        <w:rPr>
          <w:sz w:val="24"/>
        </w:rPr>
        <w:t>Management of Risk: Principles and Concepts; https://</w:t>
      </w:r>
      <w:hyperlink r:id="rId23">
        <w:r>
          <w:rPr>
            <w:sz w:val="24"/>
          </w:rPr>
          <w:t>www.gov.uk/government/publications/orange-book</w:t>
        </w:r>
      </w:hyperlink>
    </w:p>
    <w:p w14:paraId="21569791" w14:textId="77777777" w:rsidR="007B48CC" w:rsidRDefault="00E90905">
      <w:pPr>
        <w:pStyle w:val="ListParagraph"/>
        <w:numPr>
          <w:ilvl w:val="0"/>
          <w:numId w:val="1"/>
        </w:numPr>
        <w:tabs>
          <w:tab w:val="left" w:pos="752"/>
        </w:tabs>
        <w:spacing w:before="201" w:line="276" w:lineRule="auto"/>
        <w:ind w:right="1249" w:firstLine="0"/>
        <w:rPr>
          <w:sz w:val="24"/>
        </w:rPr>
      </w:pPr>
      <w:r>
        <w:rPr>
          <w:sz w:val="24"/>
        </w:rPr>
        <w:t xml:space="preserve">HM Treasury Guidance on Tackling Fraud, </w:t>
      </w:r>
      <w:r>
        <w:rPr>
          <w:spacing w:val="-1"/>
          <w:sz w:val="24"/>
        </w:rPr>
        <w:t xml:space="preserve">http://webarchive.nationalarchives.gov.uk/20130129110402/http://www.hm- </w:t>
      </w:r>
      <w:r>
        <w:rPr>
          <w:sz w:val="24"/>
        </w:rPr>
        <w:t>treasury.gov.uk/d/managing_the_risk_fraud_guide_for_managers.pdf.pdf</w:t>
      </w:r>
    </w:p>
    <w:p w14:paraId="120146FB" w14:textId="77777777" w:rsidR="007B48CC" w:rsidRDefault="00E90905">
      <w:pPr>
        <w:pStyle w:val="ListParagraph"/>
        <w:numPr>
          <w:ilvl w:val="0"/>
          <w:numId w:val="1"/>
        </w:numPr>
        <w:tabs>
          <w:tab w:val="left" w:pos="752"/>
        </w:tabs>
        <w:spacing w:before="200" w:line="276" w:lineRule="auto"/>
        <w:ind w:right="289" w:firstLine="0"/>
        <w:rPr>
          <w:sz w:val="24"/>
        </w:rPr>
      </w:pPr>
      <w:r>
        <w:rPr>
          <w:sz w:val="24"/>
        </w:rPr>
        <w:t>Government Financial Reporting Manual (</w:t>
      </w:r>
      <w:proofErr w:type="spellStart"/>
      <w:r>
        <w:rPr>
          <w:sz w:val="24"/>
        </w:rPr>
        <w:t>FReM</w:t>
      </w:r>
      <w:proofErr w:type="spellEnd"/>
      <w:r>
        <w:rPr>
          <w:sz w:val="24"/>
        </w:rPr>
        <w:t xml:space="preserve">), </w:t>
      </w:r>
      <w:r>
        <w:rPr>
          <w:spacing w:val="-1"/>
          <w:sz w:val="24"/>
        </w:rPr>
        <w:t>https://</w:t>
      </w:r>
      <w:hyperlink r:id="rId24">
        <w:r>
          <w:rPr>
            <w:spacing w:val="-1"/>
            <w:sz w:val="24"/>
          </w:rPr>
          <w:t>www.gov.uk/government/publications/government-financial-reporting-manual-</w:t>
        </w:r>
      </w:hyperlink>
      <w:r>
        <w:rPr>
          <w:spacing w:val="-1"/>
          <w:sz w:val="24"/>
        </w:rPr>
        <w:t xml:space="preserve"> </w:t>
      </w:r>
      <w:r>
        <w:rPr>
          <w:sz w:val="24"/>
        </w:rPr>
        <w:t>2016-to-2017;</w:t>
      </w:r>
    </w:p>
    <w:p w14:paraId="560CD297" w14:textId="77777777" w:rsidR="007B48CC" w:rsidRDefault="00E90905">
      <w:pPr>
        <w:pStyle w:val="ListParagraph"/>
        <w:numPr>
          <w:ilvl w:val="0"/>
          <w:numId w:val="1"/>
        </w:numPr>
        <w:tabs>
          <w:tab w:val="left" w:pos="752"/>
        </w:tabs>
        <w:spacing w:before="200"/>
        <w:ind w:left="751" w:hanging="152"/>
        <w:rPr>
          <w:sz w:val="24"/>
        </w:rPr>
      </w:pPr>
      <w:r>
        <w:rPr>
          <w:sz w:val="24"/>
        </w:rPr>
        <w:t>relevant Dear Accounting Officer</w:t>
      </w:r>
      <w:r>
        <w:rPr>
          <w:spacing w:val="-4"/>
          <w:sz w:val="24"/>
        </w:rPr>
        <w:t xml:space="preserve"> </w:t>
      </w:r>
      <w:r>
        <w:rPr>
          <w:sz w:val="24"/>
        </w:rPr>
        <w:t>letters;</w:t>
      </w:r>
    </w:p>
    <w:p w14:paraId="44F7C8AA" w14:textId="77777777" w:rsidR="007B48CC" w:rsidRDefault="007B48CC">
      <w:pPr>
        <w:rPr>
          <w:sz w:val="24"/>
        </w:rPr>
        <w:sectPr w:rsidR="007B48CC">
          <w:pgSz w:w="11910" w:h="16840"/>
          <w:pgMar w:top="1340" w:right="1220" w:bottom="1240" w:left="840" w:header="0" w:footer="1054" w:gutter="0"/>
          <w:cols w:space="720"/>
        </w:sectPr>
      </w:pPr>
    </w:p>
    <w:p w14:paraId="70DA0B7B" w14:textId="77777777" w:rsidR="007B48CC" w:rsidRDefault="00E90905">
      <w:pPr>
        <w:pStyle w:val="ListParagraph"/>
        <w:numPr>
          <w:ilvl w:val="0"/>
          <w:numId w:val="1"/>
        </w:numPr>
        <w:tabs>
          <w:tab w:val="left" w:pos="752"/>
        </w:tabs>
        <w:spacing w:before="80" w:line="276" w:lineRule="auto"/>
        <w:ind w:right="1249" w:firstLine="0"/>
        <w:rPr>
          <w:sz w:val="24"/>
        </w:rPr>
      </w:pPr>
      <w:r>
        <w:rPr>
          <w:sz w:val="24"/>
        </w:rPr>
        <w:lastRenderedPageBreak/>
        <w:t xml:space="preserve">Regularity, Propriety and Value for Money, </w:t>
      </w:r>
      <w:r>
        <w:rPr>
          <w:spacing w:val="-1"/>
          <w:sz w:val="24"/>
        </w:rPr>
        <w:t xml:space="preserve">http://webarchive.nationalarchives.gov.uk/20130129110402/http://www.hm- </w:t>
      </w:r>
      <w:r>
        <w:rPr>
          <w:sz w:val="24"/>
        </w:rPr>
        <w:t>treasury.gov.uk/psr_governance_valueformoney.htm;</w:t>
      </w:r>
    </w:p>
    <w:p w14:paraId="77F752D5" w14:textId="77777777" w:rsidR="007B48CC" w:rsidRDefault="00E90905">
      <w:pPr>
        <w:pStyle w:val="ListParagraph"/>
        <w:numPr>
          <w:ilvl w:val="0"/>
          <w:numId w:val="1"/>
        </w:numPr>
        <w:tabs>
          <w:tab w:val="left" w:pos="752"/>
        </w:tabs>
        <w:spacing w:before="200"/>
        <w:ind w:left="751" w:hanging="152"/>
        <w:rPr>
          <w:sz w:val="24"/>
        </w:rPr>
      </w:pPr>
      <w:r>
        <w:rPr>
          <w:sz w:val="24"/>
        </w:rPr>
        <w:t>relevant Freedom of Information Act guidance and instructions (Ministry of</w:t>
      </w:r>
      <w:r>
        <w:rPr>
          <w:spacing w:val="-25"/>
          <w:sz w:val="24"/>
        </w:rPr>
        <w:t xml:space="preserve"> </w:t>
      </w:r>
      <w:r>
        <w:rPr>
          <w:sz w:val="24"/>
        </w:rPr>
        <w:t>Justice);</w:t>
      </w:r>
    </w:p>
    <w:p w14:paraId="6631BDF9" w14:textId="77777777" w:rsidR="007B48CC" w:rsidRDefault="007B48CC">
      <w:pPr>
        <w:pStyle w:val="BodyText"/>
        <w:rPr>
          <w:sz w:val="21"/>
        </w:rPr>
      </w:pPr>
    </w:p>
    <w:p w14:paraId="1D51D865" w14:textId="77777777" w:rsidR="007B48CC" w:rsidRDefault="00E90905">
      <w:pPr>
        <w:pStyle w:val="ListParagraph"/>
        <w:numPr>
          <w:ilvl w:val="0"/>
          <w:numId w:val="1"/>
        </w:numPr>
        <w:tabs>
          <w:tab w:val="left" w:pos="752"/>
        </w:tabs>
        <w:spacing w:before="1" w:line="276" w:lineRule="auto"/>
        <w:ind w:right="230" w:firstLine="0"/>
        <w:jc w:val="both"/>
        <w:rPr>
          <w:sz w:val="24"/>
        </w:rPr>
      </w:pPr>
      <w:r>
        <w:rPr>
          <w:sz w:val="24"/>
        </w:rPr>
        <w:t xml:space="preserve">Model Code for Staff of Executive Non-departmental Public Bodies (Cabinet Office) </w:t>
      </w:r>
      <w:r>
        <w:rPr>
          <w:spacing w:val="-1"/>
          <w:sz w:val="24"/>
        </w:rPr>
        <w:t>https://</w:t>
      </w:r>
      <w:hyperlink r:id="rId25">
        <w:r>
          <w:rPr>
            <w:spacing w:val="-1"/>
            <w:sz w:val="24"/>
          </w:rPr>
          <w:t>www.gov.uk/government/uploads/system/uploads/attachment_data/file/80082/</w:t>
        </w:r>
      </w:hyperlink>
      <w:r>
        <w:rPr>
          <w:spacing w:val="-1"/>
          <w:sz w:val="24"/>
        </w:rPr>
        <w:t xml:space="preserve"> </w:t>
      </w:r>
      <w:r>
        <w:rPr>
          <w:sz w:val="24"/>
        </w:rPr>
        <w:t>PublicBodiesGuide2006_5_public_body_staffv2_0.pdf</w:t>
      </w:r>
    </w:p>
    <w:p w14:paraId="67E7537C" w14:textId="77777777" w:rsidR="007B48CC" w:rsidRDefault="00E90905">
      <w:pPr>
        <w:pStyle w:val="ListParagraph"/>
        <w:numPr>
          <w:ilvl w:val="0"/>
          <w:numId w:val="1"/>
        </w:numPr>
        <w:tabs>
          <w:tab w:val="left" w:pos="752"/>
        </w:tabs>
        <w:spacing w:before="199" w:line="276" w:lineRule="auto"/>
        <w:ind w:right="227" w:firstLine="0"/>
        <w:jc w:val="both"/>
        <w:rPr>
          <w:sz w:val="24"/>
        </w:rPr>
      </w:pPr>
      <w:r>
        <w:rPr>
          <w:sz w:val="24"/>
        </w:rPr>
        <w:t>other relevant guidance and instructions issued by the Treasury in respect of</w:t>
      </w:r>
      <w:r>
        <w:rPr>
          <w:spacing w:val="-38"/>
          <w:sz w:val="24"/>
        </w:rPr>
        <w:t xml:space="preserve"> </w:t>
      </w:r>
      <w:r>
        <w:rPr>
          <w:sz w:val="24"/>
        </w:rPr>
        <w:t>Whole of Government</w:t>
      </w:r>
      <w:r>
        <w:rPr>
          <w:spacing w:val="1"/>
          <w:sz w:val="24"/>
        </w:rPr>
        <w:t xml:space="preserve"> </w:t>
      </w:r>
      <w:r>
        <w:rPr>
          <w:sz w:val="24"/>
        </w:rPr>
        <w:t>Accounts;</w:t>
      </w:r>
    </w:p>
    <w:p w14:paraId="307AB01D" w14:textId="77777777" w:rsidR="007B48CC" w:rsidRDefault="00E90905">
      <w:pPr>
        <w:pStyle w:val="ListParagraph"/>
        <w:numPr>
          <w:ilvl w:val="0"/>
          <w:numId w:val="1"/>
        </w:numPr>
        <w:tabs>
          <w:tab w:val="left" w:pos="752"/>
        </w:tabs>
        <w:spacing w:before="199"/>
        <w:ind w:left="751" w:hanging="152"/>
        <w:rPr>
          <w:sz w:val="24"/>
        </w:rPr>
      </w:pPr>
      <w:r>
        <w:rPr>
          <w:sz w:val="24"/>
        </w:rPr>
        <w:t>other relevant instructions and guidance issued by the central</w:t>
      </w:r>
      <w:r>
        <w:rPr>
          <w:spacing w:val="-14"/>
          <w:sz w:val="24"/>
        </w:rPr>
        <w:t xml:space="preserve"> </w:t>
      </w:r>
      <w:r>
        <w:rPr>
          <w:sz w:val="24"/>
        </w:rPr>
        <w:t>Departments;</w:t>
      </w:r>
    </w:p>
    <w:p w14:paraId="6DC309DF" w14:textId="77777777" w:rsidR="007B48CC" w:rsidRDefault="007B48CC">
      <w:pPr>
        <w:pStyle w:val="BodyText"/>
        <w:spacing w:before="1"/>
        <w:rPr>
          <w:sz w:val="21"/>
        </w:rPr>
      </w:pPr>
    </w:p>
    <w:p w14:paraId="6E5E98D5" w14:textId="77777777" w:rsidR="007B48CC" w:rsidRDefault="00E90905">
      <w:pPr>
        <w:pStyle w:val="ListParagraph"/>
        <w:numPr>
          <w:ilvl w:val="0"/>
          <w:numId w:val="1"/>
        </w:numPr>
        <w:tabs>
          <w:tab w:val="left" w:pos="752"/>
        </w:tabs>
        <w:ind w:left="751" w:hanging="152"/>
        <w:rPr>
          <w:sz w:val="24"/>
        </w:rPr>
      </w:pPr>
      <w:r>
        <w:rPr>
          <w:sz w:val="24"/>
        </w:rPr>
        <w:t>specific instructions and guidance issued by</w:t>
      </w:r>
      <w:r>
        <w:rPr>
          <w:spacing w:val="-11"/>
          <w:sz w:val="24"/>
        </w:rPr>
        <w:t xml:space="preserve"> </w:t>
      </w:r>
      <w:r>
        <w:rPr>
          <w:sz w:val="24"/>
        </w:rPr>
        <w:t>DCLG;</w:t>
      </w:r>
    </w:p>
    <w:p w14:paraId="3E1A2814" w14:textId="77777777" w:rsidR="007B48CC" w:rsidRDefault="007B48CC">
      <w:pPr>
        <w:pStyle w:val="BodyText"/>
        <w:spacing w:before="1"/>
        <w:rPr>
          <w:sz w:val="21"/>
        </w:rPr>
      </w:pPr>
    </w:p>
    <w:p w14:paraId="0C80551F" w14:textId="77777777" w:rsidR="007B48CC" w:rsidRDefault="00E90905">
      <w:pPr>
        <w:pStyle w:val="ListParagraph"/>
        <w:numPr>
          <w:ilvl w:val="0"/>
          <w:numId w:val="1"/>
        </w:numPr>
        <w:tabs>
          <w:tab w:val="left" w:pos="752"/>
        </w:tabs>
        <w:spacing w:line="276" w:lineRule="auto"/>
        <w:ind w:right="251" w:firstLine="0"/>
        <w:rPr>
          <w:sz w:val="24"/>
        </w:rPr>
      </w:pPr>
      <w:r>
        <w:rPr>
          <w:sz w:val="24"/>
        </w:rPr>
        <w:t>recommendations made by the Public Accounts Committee, or by other Parliamentary authority, that have been accepted by the Government and relevant to THO.</w:t>
      </w:r>
    </w:p>
    <w:p w14:paraId="324E2F2C" w14:textId="77777777" w:rsidR="007B48CC" w:rsidRDefault="007B48CC">
      <w:pPr>
        <w:spacing w:line="276" w:lineRule="auto"/>
        <w:rPr>
          <w:sz w:val="24"/>
        </w:rPr>
        <w:sectPr w:rsidR="007B48CC">
          <w:pgSz w:w="11910" w:h="16840"/>
          <w:pgMar w:top="1340" w:right="1220" w:bottom="1240" w:left="840" w:header="0" w:footer="1054" w:gutter="0"/>
          <w:cols w:space="720"/>
        </w:sectPr>
      </w:pPr>
    </w:p>
    <w:p w14:paraId="7C748B90" w14:textId="77777777" w:rsidR="007B48CC" w:rsidRDefault="00E90905">
      <w:pPr>
        <w:pStyle w:val="Heading1"/>
      </w:pPr>
      <w:r>
        <w:lastRenderedPageBreak/>
        <w:t>Annex D</w:t>
      </w:r>
    </w:p>
    <w:p w14:paraId="1E1B18B0" w14:textId="77777777" w:rsidR="007B48CC" w:rsidRDefault="00E90905">
      <w:pPr>
        <w:spacing w:before="256"/>
        <w:ind w:left="600"/>
        <w:rPr>
          <w:b/>
          <w:sz w:val="32"/>
        </w:rPr>
      </w:pPr>
      <w:r>
        <w:rPr>
          <w:b/>
          <w:sz w:val="32"/>
        </w:rPr>
        <w:t>THO’s Delegated Authorities</w:t>
      </w:r>
      <w:r>
        <w:rPr>
          <w:b/>
          <w:sz w:val="32"/>
          <w:vertAlign w:val="superscript"/>
        </w:rPr>
        <w:t>1</w:t>
      </w:r>
    </w:p>
    <w:p w14:paraId="108ED7B4" w14:textId="77777777" w:rsidR="007B48CC" w:rsidRDefault="007B48CC">
      <w:pPr>
        <w:pStyle w:val="BodyText"/>
        <w:spacing w:before="5"/>
        <w:rPr>
          <w:b/>
          <w:sz w:val="22"/>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7B48CC" w14:paraId="752365EC" w14:textId="77777777">
        <w:trPr>
          <w:trHeight w:val="318"/>
        </w:trPr>
        <w:tc>
          <w:tcPr>
            <w:tcW w:w="4621" w:type="dxa"/>
          </w:tcPr>
          <w:p w14:paraId="52F5DDF8" w14:textId="77777777" w:rsidR="007B48CC" w:rsidRDefault="00E90905">
            <w:pPr>
              <w:pStyle w:val="TableParagraph"/>
              <w:rPr>
                <w:b/>
                <w:sz w:val="24"/>
              </w:rPr>
            </w:pPr>
            <w:r>
              <w:rPr>
                <w:b/>
                <w:sz w:val="24"/>
              </w:rPr>
              <w:t>Area</w:t>
            </w:r>
          </w:p>
        </w:tc>
        <w:tc>
          <w:tcPr>
            <w:tcW w:w="4624" w:type="dxa"/>
          </w:tcPr>
          <w:p w14:paraId="3D515B2B" w14:textId="77777777" w:rsidR="007B48CC" w:rsidRDefault="00E90905">
            <w:pPr>
              <w:pStyle w:val="TableParagraph"/>
              <w:rPr>
                <w:b/>
                <w:sz w:val="24"/>
              </w:rPr>
            </w:pPr>
            <w:r>
              <w:rPr>
                <w:b/>
                <w:sz w:val="24"/>
              </w:rPr>
              <w:t>Delegation</w:t>
            </w:r>
          </w:p>
        </w:tc>
      </w:tr>
      <w:tr w:rsidR="007B48CC" w14:paraId="79BDC461" w14:textId="77777777">
        <w:trPr>
          <w:trHeight w:val="633"/>
        </w:trPr>
        <w:tc>
          <w:tcPr>
            <w:tcW w:w="4621" w:type="dxa"/>
          </w:tcPr>
          <w:p w14:paraId="6A09FEC0" w14:textId="77777777" w:rsidR="007B48CC" w:rsidRDefault="00E90905">
            <w:pPr>
              <w:pStyle w:val="TableParagraph"/>
              <w:rPr>
                <w:sz w:val="24"/>
              </w:rPr>
            </w:pPr>
            <w:r>
              <w:rPr>
                <w:sz w:val="24"/>
              </w:rPr>
              <w:t>Write off of income and abandoned</w:t>
            </w:r>
          </w:p>
          <w:p w14:paraId="1C7EFADF" w14:textId="77777777" w:rsidR="007B48CC" w:rsidRDefault="00E90905">
            <w:pPr>
              <w:pStyle w:val="TableParagraph"/>
              <w:spacing w:before="41" w:line="240" w:lineRule="auto"/>
              <w:rPr>
                <w:sz w:val="24"/>
              </w:rPr>
            </w:pPr>
            <w:r>
              <w:rPr>
                <w:sz w:val="24"/>
              </w:rPr>
              <w:t>claims on third parties</w:t>
            </w:r>
          </w:p>
        </w:tc>
        <w:tc>
          <w:tcPr>
            <w:tcW w:w="4624" w:type="dxa"/>
          </w:tcPr>
          <w:p w14:paraId="4E6AFECC" w14:textId="77777777" w:rsidR="007B48CC" w:rsidRDefault="00E90905">
            <w:pPr>
              <w:pStyle w:val="TableParagraph"/>
              <w:rPr>
                <w:sz w:val="24"/>
              </w:rPr>
            </w:pPr>
            <w:r>
              <w:rPr>
                <w:sz w:val="24"/>
              </w:rPr>
              <w:t>Write offs up to £2,500</w:t>
            </w:r>
          </w:p>
        </w:tc>
      </w:tr>
      <w:tr w:rsidR="007B48CC" w14:paraId="24859F3B" w14:textId="77777777">
        <w:trPr>
          <w:trHeight w:val="318"/>
        </w:trPr>
        <w:tc>
          <w:tcPr>
            <w:tcW w:w="4621" w:type="dxa"/>
          </w:tcPr>
          <w:p w14:paraId="0023A924" w14:textId="77777777" w:rsidR="007B48CC" w:rsidRDefault="00E90905">
            <w:pPr>
              <w:pStyle w:val="TableParagraph"/>
              <w:spacing w:line="240" w:lineRule="auto"/>
              <w:rPr>
                <w:sz w:val="24"/>
              </w:rPr>
            </w:pPr>
            <w:r>
              <w:rPr>
                <w:sz w:val="24"/>
              </w:rPr>
              <w:t>Charitable donations</w:t>
            </w:r>
          </w:p>
        </w:tc>
        <w:tc>
          <w:tcPr>
            <w:tcW w:w="4624" w:type="dxa"/>
          </w:tcPr>
          <w:p w14:paraId="731C6CC4" w14:textId="77777777" w:rsidR="007B48CC" w:rsidRDefault="00E90905">
            <w:pPr>
              <w:pStyle w:val="TableParagraph"/>
              <w:spacing w:line="240" w:lineRule="auto"/>
              <w:rPr>
                <w:sz w:val="24"/>
              </w:rPr>
            </w:pPr>
            <w:r>
              <w:rPr>
                <w:sz w:val="24"/>
              </w:rPr>
              <w:t>Annual donations up to £500</w:t>
            </w:r>
          </w:p>
        </w:tc>
      </w:tr>
      <w:tr w:rsidR="007B48CC" w14:paraId="5F36155A" w14:textId="77777777">
        <w:trPr>
          <w:trHeight w:val="633"/>
        </w:trPr>
        <w:tc>
          <w:tcPr>
            <w:tcW w:w="4621" w:type="dxa"/>
          </w:tcPr>
          <w:p w14:paraId="353A5E3F" w14:textId="77777777" w:rsidR="007B48CC" w:rsidRDefault="00E90905">
            <w:pPr>
              <w:pStyle w:val="TableParagraph"/>
              <w:rPr>
                <w:sz w:val="24"/>
              </w:rPr>
            </w:pPr>
            <w:r>
              <w:rPr>
                <w:sz w:val="24"/>
              </w:rPr>
              <w:t>Losses and special payments</w:t>
            </w:r>
          </w:p>
        </w:tc>
        <w:tc>
          <w:tcPr>
            <w:tcW w:w="4624" w:type="dxa"/>
          </w:tcPr>
          <w:p w14:paraId="1B3E5920" w14:textId="77777777" w:rsidR="007B48CC" w:rsidRDefault="00E90905">
            <w:pPr>
              <w:pStyle w:val="TableParagraph"/>
              <w:rPr>
                <w:sz w:val="24"/>
              </w:rPr>
            </w:pPr>
            <w:r>
              <w:rPr>
                <w:sz w:val="24"/>
              </w:rPr>
              <w:t>Losses and special payments up to</w:t>
            </w:r>
          </w:p>
          <w:p w14:paraId="41EDE9FB" w14:textId="77777777" w:rsidR="007B48CC" w:rsidRDefault="00E90905">
            <w:pPr>
              <w:pStyle w:val="TableParagraph"/>
              <w:spacing w:before="41" w:line="240" w:lineRule="auto"/>
              <w:rPr>
                <w:sz w:val="24"/>
              </w:rPr>
            </w:pPr>
            <w:r>
              <w:rPr>
                <w:sz w:val="24"/>
              </w:rPr>
              <w:t>£2,500</w:t>
            </w:r>
          </w:p>
        </w:tc>
      </w:tr>
      <w:tr w:rsidR="007B48CC" w14:paraId="338A95AC" w14:textId="77777777">
        <w:trPr>
          <w:trHeight w:val="319"/>
        </w:trPr>
        <w:tc>
          <w:tcPr>
            <w:tcW w:w="4621" w:type="dxa"/>
          </w:tcPr>
          <w:p w14:paraId="38DE0F5D" w14:textId="77777777" w:rsidR="007B48CC" w:rsidRDefault="00E90905">
            <w:pPr>
              <w:pStyle w:val="TableParagraph"/>
              <w:spacing w:before="1" w:line="240" w:lineRule="auto"/>
              <w:rPr>
                <w:sz w:val="24"/>
              </w:rPr>
            </w:pPr>
            <w:r>
              <w:rPr>
                <w:sz w:val="24"/>
              </w:rPr>
              <w:t>Proposals for making gifts</w:t>
            </w:r>
          </w:p>
        </w:tc>
        <w:tc>
          <w:tcPr>
            <w:tcW w:w="4624" w:type="dxa"/>
          </w:tcPr>
          <w:p w14:paraId="3A002B51" w14:textId="77777777" w:rsidR="007B48CC" w:rsidRDefault="00E90905">
            <w:pPr>
              <w:pStyle w:val="TableParagraph"/>
              <w:spacing w:before="1" w:line="240" w:lineRule="auto"/>
              <w:rPr>
                <w:sz w:val="24"/>
              </w:rPr>
            </w:pPr>
            <w:r>
              <w:rPr>
                <w:sz w:val="24"/>
              </w:rPr>
              <w:t>All gifts up to £500</w:t>
            </w:r>
          </w:p>
        </w:tc>
      </w:tr>
    </w:tbl>
    <w:p w14:paraId="669CB9C1" w14:textId="77777777" w:rsidR="007B48CC" w:rsidRDefault="007B48CC">
      <w:pPr>
        <w:pStyle w:val="BodyText"/>
        <w:rPr>
          <w:b/>
          <w:sz w:val="20"/>
        </w:rPr>
      </w:pPr>
    </w:p>
    <w:p w14:paraId="258F0BE3" w14:textId="77777777" w:rsidR="007B48CC" w:rsidRDefault="007B48CC">
      <w:pPr>
        <w:pStyle w:val="BodyText"/>
        <w:rPr>
          <w:b/>
          <w:sz w:val="20"/>
        </w:rPr>
      </w:pPr>
    </w:p>
    <w:p w14:paraId="7BC7D715" w14:textId="77777777" w:rsidR="007B48CC" w:rsidRDefault="007B48CC">
      <w:pPr>
        <w:pStyle w:val="BodyText"/>
        <w:rPr>
          <w:b/>
          <w:sz w:val="20"/>
        </w:rPr>
      </w:pPr>
    </w:p>
    <w:p w14:paraId="3C9335BE" w14:textId="77777777" w:rsidR="007B48CC" w:rsidRDefault="007B48CC">
      <w:pPr>
        <w:pStyle w:val="BodyText"/>
        <w:rPr>
          <w:b/>
          <w:sz w:val="20"/>
        </w:rPr>
      </w:pPr>
    </w:p>
    <w:p w14:paraId="76819043" w14:textId="77777777" w:rsidR="007B48CC" w:rsidRDefault="007B48CC">
      <w:pPr>
        <w:pStyle w:val="BodyText"/>
        <w:rPr>
          <w:b/>
          <w:sz w:val="20"/>
        </w:rPr>
      </w:pPr>
    </w:p>
    <w:p w14:paraId="63885D2A" w14:textId="77777777" w:rsidR="007B48CC" w:rsidRDefault="007B48CC">
      <w:pPr>
        <w:pStyle w:val="BodyText"/>
        <w:rPr>
          <w:b/>
          <w:sz w:val="20"/>
        </w:rPr>
      </w:pPr>
    </w:p>
    <w:p w14:paraId="016AF3CC" w14:textId="77777777" w:rsidR="007B48CC" w:rsidRDefault="007B48CC">
      <w:pPr>
        <w:pStyle w:val="BodyText"/>
        <w:rPr>
          <w:b/>
          <w:sz w:val="20"/>
        </w:rPr>
      </w:pPr>
    </w:p>
    <w:p w14:paraId="7F177CEC" w14:textId="77777777" w:rsidR="007B48CC" w:rsidRDefault="007B48CC">
      <w:pPr>
        <w:pStyle w:val="BodyText"/>
        <w:rPr>
          <w:b/>
          <w:sz w:val="20"/>
        </w:rPr>
      </w:pPr>
    </w:p>
    <w:p w14:paraId="43206332" w14:textId="77777777" w:rsidR="007B48CC" w:rsidRDefault="007B48CC">
      <w:pPr>
        <w:pStyle w:val="BodyText"/>
        <w:rPr>
          <w:b/>
          <w:sz w:val="20"/>
        </w:rPr>
      </w:pPr>
    </w:p>
    <w:p w14:paraId="4C8A451D" w14:textId="77777777" w:rsidR="007B48CC" w:rsidRDefault="007B48CC">
      <w:pPr>
        <w:pStyle w:val="BodyText"/>
        <w:rPr>
          <w:b/>
          <w:sz w:val="20"/>
        </w:rPr>
      </w:pPr>
    </w:p>
    <w:p w14:paraId="6F8A3C1B" w14:textId="77777777" w:rsidR="007B48CC" w:rsidRDefault="007B48CC">
      <w:pPr>
        <w:pStyle w:val="BodyText"/>
        <w:rPr>
          <w:b/>
          <w:sz w:val="20"/>
        </w:rPr>
      </w:pPr>
    </w:p>
    <w:p w14:paraId="2530B818" w14:textId="77777777" w:rsidR="007B48CC" w:rsidRDefault="007B48CC">
      <w:pPr>
        <w:pStyle w:val="BodyText"/>
        <w:rPr>
          <w:b/>
          <w:sz w:val="20"/>
        </w:rPr>
      </w:pPr>
    </w:p>
    <w:p w14:paraId="591333EE" w14:textId="77777777" w:rsidR="007B48CC" w:rsidRDefault="007B48CC">
      <w:pPr>
        <w:pStyle w:val="BodyText"/>
        <w:rPr>
          <w:b/>
          <w:sz w:val="20"/>
        </w:rPr>
      </w:pPr>
    </w:p>
    <w:p w14:paraId="50BC08AD" w14:textId="77777777" w:rsidR="007B48CC" w:rsidRDefault="007B48CC">
      <w:pPr>
        <w:pStyle w:val="BodyText"/>
        <w:rPr>
          <w:b/>
          <w:sz w:val="20"/>
        </w:rPr>
      </w:pPr>
    </w:p>
    <w:p w14:paraId="58A5BF2B" w14:textId="77777777" w:rsidR="007B48CC" w:rsidRDefault="007B48CC">
      <w:pPr>
        <w:pStyle w:val="BodyText"/>
        <w:rPr>
          <w:b/>
          <w:sz w:val="20"/>
        </w:rPr>
      </w:pPr>
    </w:p>
    <w:p w14:paraId="69A3CB28" w14:textId="77777777" w:rsidR="007B48CC" w:rsidRDefault="007B48CC">
      <w:pPr>
        <w:pStyle w:val="BodyText"/>
        <w:rPr>
          <w:b/>
          <w:sz w:val="20"/>
        </w:rPr>
      </w:pPr>
    </w:p>
    <w:p w14:paraId="4BB5A502" w14:textId="77777777" w:rsidR="007B48CC" w:rsidRDefault="007B48CC">
      <w:pPr>
        <w:pStyle w:val="BodyText"/>
        <w:rPr>
          <w:b/>
          <w:sz w:val="20"/>
        </w:rPr>
      </w:pPr>
    </w:p>
    <w:p w14:paraId="128811A6" w14:textId="77777777" w:rsidR="007B48CC" w:rsidRDefault="007B48CC">
      <w:pPr>
        <w:pStyle w:val="BodyText"/>
        <w:rPr>
          <w:b/>
          <w:sz w:val="20"/>
        </w:rPr>
      </w:pPr>
    </w:p>
    <w:p w14:paraId="0919D191" w14:textId="77777777" w:rsidR="007B48CC" w:rsidRDefault="007B48CC">
      <w:pPr>
        <w:pStyle w:val="BodyText"/>
        <w:rPr>
          <w:b/>
          <w:sz w:val="20"/>
        </w:rPr>
      </w:pPr>
    </w:p>
    <w:p w14:paraId="3E896D5C" w14:textId="77777777" w:rsidR="007B48CC" w:rsidRDefault="007B48CC">
      <w:pPr>
        <w:pStyle w:val="BodyText"/>
        <w:rPr>
          <w:b/>
          <w:sz w:val="20"/>
        </w:rPr>
      </w:pPr>
    </w:p>
    <w:p w14:paraId="3935396A" w14:textId="77777777" w:rsidR="007B48CC" w:rsidRDefault="007B48CC">
      <w:pPr>
        <w:pStyle w:val="BodyText"/>
        <w:rPr>
          <w:b/>
          <w:sz w:val="20"/>
        </w:rPr>
      </w:pPr>
    </w:p>
    <w:p w14:paraId="49E86CED" w14:textId="77777777" w:rsidR="007B48CC" w:rsidRDefault="007B48CC">
      <w:pPr>
        <w:pStyle w:val="BodyText"/>
        <w:rPr>
          <w:b/>
          <w:sz w:val="20"/>
        </w:rPr>
      </w:pPr>
    </w:p>
    <w:p w14:paraId="74A79CA2" w14:textId="77777777" w:rsidR="007B48CC" w:rsidRDefault="007B48CC">
      <w:pPr>
        <w:pStyle w:val="BodyText"/>
        <w:rPr>
          <w:b/>
          <w:sz w:val="20"/>
        </w:rPr>
      </w:pPr>
    </w:p>
    <w:p w14:paraId="5D30D934" w14:textId="77777777" w:rsidR="007B48CC" w:rsidRDefault="007B48CC">
      <w:pPr>
        <w:pStyle w:val="BodyText"/>
        <w:rPr>
          <w:b/>
          <w:sz w:val="20"/>
        </w:rPr>
      </w:pPr>
    </w:p>
    <w:p w14:paraId="36097E87" w14:textId="77777777" w:rsidR="007B48CC" w:rsidRDefault="007B48CC">
      <w:pPr>
        <w:pStyle w:val="BodyText"/>
        <w:rPr>
          <w:b/>
          <w:sz w:val="20"/>
        </w:rPr>
      </w:pPr>
    </w:p>
    <w:p w14:paraId="2547C455" w14:textId="77777777" w:rsidR="007B48CC" w:rsidRDefault="007B48CC">
      <w:pPr>
        <w:pStyle w:val="BodyText"/>
        <w:rPr>
          <w:b/>
          <w:sz w:val="20"/>
        </w:rPr>
      </w:pPr>
    </w:p>
    <w:p w14:paraId="4D43A8B3" w14:textId="77777777" w:rsidR="007B48CC" w:rsidRDefault="007B48CC">
      <w:pPr>
        <w:pStyle w:val="BodyText"/>
        <w:rPr>
          <w:b/>
          <w:sz w:val="20"/>
        </w:rPr>
      </w:pPr>
    </w:p>
    <w:p w14:paraId="37ABC13B" w14:textId="77777777" w:rsidR="007B48CC" w:rsidRDefault="007B48CC">
      <w:pPr>
        <w:pStyle w:val="BodyText"/>
        <w:rPr>
          <w:b/>
          <w:sz w:val="20"/>
        </w:rPr>
      </w:pPr>
    </w:p>
    <w:p w14:paraId="5320C4FB" w14:textId="77777777" w:rsidR="007B48CC" w:rsidRDefault="007B48CC">
      <w:pPr>
        <w:pStyle w:val="BodyText"/>
        <w:rPr>
          <w:b/>
          <w:sz w:val="20"/>
        </w:rPr>
      </w:pPr>
    </w:p>
    <w:p w14:paraId="2B31B524" w14:textId="77777777" w:rsidR="007B48CC" w:rsidRDefault="007B48CC">
      <w:pPr>
        <w:pStyle w:val="BodyText"/>
        <w:rPr>
          <w:b/>
          <w:sz w:val="20"/>
        </w:rPr>
      </w:pPr>
    </w:p>
    <w:p w14:paraId="2CFEE565" w14:textId="77777777" w:rsidR="007B48CC" w:rsidRDefault="007B48CC">
      <w:pPr>
        <w:pStyle w:val="BodyText"/>
        <w:rPr>
          <w:b/>
          <w:sz w:val="20"/>
        </w:rPr>
      </w:pPr>
    </w:p>
    <w:p w14:paraId="49B319D3" w14:textId="77777777" w:rsidR="007B48CC" w:rsidRDefault="007B48CC">
      <w:pPr>
        <w:pStyle w:val="BodyText"/>
        <w:rPr>
          <w:b/>
          <w:sz w:val="20"/>
        </w:rPr>
      </w:pPr>
    </w:p>
    <w:p w14:paraId="76F28E16" w14:textId="77777777" w:rsidR="007B48CC" w:rsidRDefault="007B48CC">
      <w:pPr>
        <w:pStyle w:val="BodyText"/>
        <w:rPr>
          <w:b/>
          <w:sz w:val="20"/>
        </w:rPr>
      </w:pPr>
    </w:p>
    <w:p w14:paraId="5241EB69" w14:textId="77777777" w:rsidR="007B48CC" w:rsidRDefault="007B48CC">
      <w:pPr>
        <w:pStyle w:val="BodyText"/>
        <w:rPr>
          <w:b/>
          <w:sz w:val="20"/>
        </w:rPr>
      </w:pPr>
    </w:p>
    <w:p w14:paraId="45F0FA14" w14:textId="77777777" w:rsidR="007B48CC" w:rsidRDefault="007B48CC">
      <w:pPr>
        <w:pStyle w:val="BodyText"/>
        <w:rPr>
          <w:b/>
          <w:sz w:val="20"/>
        </w:rPr>
      </w:pPr>
    </w:p>
    <w:p w14:paraId="48B6B06D" w14:textId="77777777" w:rsidR="007B48CC" w:rsidRDefault="007B48CC">
      <w:pPr>
        <w:pStyle w:val="BodyText"/>
        <w:rPr>
          <w:b/>
          <w:sz w:val="20"/>
        </w:rPr>
      </w:pPr>
    </w:p>
    <w:p w14:paraId="239B134D" w14:textId="77777777" w:rsidR="007B48CC" w:rsidRDefault="007B48CC">
      <w:pPr>
        <w:pStyle w:val="BodyText"/>
        <w:rPr>
          <w:b/>
          <w:sz w:val="20"/>
        </w:rPr>
      </w:pPr>
    </w:p>
    <w:p w14:paraId="0F403250" w14:textId="77777777" w:rsidR="007B48CC" w:rsidRDefault="007B48CC">
      <w:pPr>
        <w:pStyle w:val="BodyText"/>
        <w:rPr>
          <w:b/>
          <w:sz w:val="20"/>
        </w:rPr>
      </w:pPr>
    </w:p>
    <w:p w14:paraId="2CD6E987" w14:textId="77777777" w:rsidR="007B48CC" w:rsidRDefault="007B48CC">
      <w:pPr>
        <w:pStyle w:val="BodyText"/>
        <w:rPr>
          <w:b/>
          <w:sz w:val="20"/>
        </w:rPr>
      </w:pPr>
    </w:p>
    <w:p w14:paraId="4BC997F0" w14:textId="77777777" w:rsidR="007B48CC" w:rsidRDefault="007B48CC">
      <w:pPr>
        <w:pStyle w:val="BodyText"/>
        <w:rPr>
          <w:b/>
          <w:sz w:val="20"/>
        </w:rPr>
      </w:pPr>
    </w:p>
    <w:p w14:paraId="0FD6BF5C" w14:textId="77777777" w:rsidR="007B48CC" w:rsidRDefault="007B48CC">
      <w:pPr>
        <w:pStyle w:val="BodyText"/>
        <w:rPr>
          <w:b/>
          <w:sz w:val="20"/>
        </w:rPr>
      </w:pPr>
    </w:p>
    <w:p w14:paraId="3C77F8D9" w14:textId="77777777" w:rsidR="007B48CC" w:rsidRDefault="007B48CC">
      <w:pPr>
        <w:pStyle w:val="BodyText"/>
        <w:rPr>
          <w:b/>
          <w:sz w:val="20"/>
        </w:rPr>
      </w:pPr>
    </w:p>
    <w:p w14:paraId="61928129" w14:textId="77777777" w:rsidR="007B48CC" w:rsidRDefault="007B48CC">
      <w:pPr>
        <w:pStyle w:val="BodyText"/>
        <w:rPr>
          <w:b/>
          <w:sz w:val="20"/>
        </w:rPr>
      </w:pPr>
    </w:p>
    <w:p w14:paraId="4C71E40D" w14:textId="0EF7F972" w:rsidR="007B48CC" w:rsidRDefault="00103017">
      <w:pPr>
        <w:pStyle w:val="BodyText"/>
        <w:spacing w:before="6"/>
        <w:rPr>
          <w:b/>
          <w:sz w:val="13"/>
        </w:rPr>
      </w:pPr>
      <w:r>
        <w:rPr>
          <w:noProof/>
        </w:rPr>
        <mc:AlternateContent>
          <mc:Choice Requires="wps">
            <w:drawing>
              <wp:anchor distT="0" distB="0" distL="0" distR="0" simplePos="0" relativeHeight="251658240" behindDoc="1" locked="0" layoutInCell="1" allowOverlap="1" wp14:anchorId="7C258EBF" wp14:editId="4173B51D">
                <wp:simplePos x="0" y="0"/>
                <wp:positionH relativeFrom="page">
                  <wp:posOffset>914400</wp:posOffset>
                </wp:positionH>
                <wp:positionV relativeFrom="paragraph">
                  <wp:posOffset>127635</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EC110" id="Freeform 2" o:spid="_x0000_s1026" style="position:absolute;margin-left:1in;margin-top:10.0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" path="m,l2881,e" filled="f" strokeweight=".6pt">
                <v:path arrowok="t" o:connecttype="custom" o:connectlocs="0,0;1829435,0" o:connectangles="0,0"/>
                <w10:wrap type="topAndBottom" anchorx="page"/>
              </v:shape>
            </w:pict>
          </mc:Fallback>
        </mc:AlternateContent>
      </w:r>
    </w:p>
    <w:p w14:paraId="48469E9D" w14:textId="77777777" w:rsidR="007B48CC" w:rsidRDefault="00E90905">
      <w:pPr>
        <w:spacing w:before="39"/>
        <w:ind w:left="600"/>
        <w:rPr>
          <w:sz w:val="20"/>
        </w:rPr>
      </w:pPr>
      <w:r>
        <w:rPr>
          <w:position w:val="10"/>
          <w:sz w:val="13"/>
        </w:rPr>
        <w:t xml:space="preserve">1 </w:t>
      </w:r>
      <w:r>
        <w:rPr>
          <w:sz w:val="20"/>
        </w:rPr>
        <w:t>All amounts are stated exclusive of VAT.</w:t>
      </w:r>
    </w:p>
    <w:sectPr w:rsidR="007B48CC">
      <w:pgSz w:w="11910" w:h="16840"/>
      <w:pgMar w:top="1340" w:right="1220" w:bottom="1240" w:left="84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9553" w14:textId="77777777" w:rsidR="00E90905" w:rsidRDefault="00E90905">
      <w:r>
        <w:separator/>
      </w:r>
    </w:p>
  </w:endnote>
  <w:endnote w:type="continuationSeparator" w:id="0">
    <w:p w14:paraId="2F18CAA8" w14:textId="77777777" w:rsidR="00E90905" w:rsidRDefault="00E90905">
      <w:r>
        <w:continuationSeparator/>
      </w:r>
    </w:p>
  </w:endnote>
  <w:endnote w:type="continuationNotice" w:id="1">
    <w:p w14:paraId="71D24A23" w14:textId="77777777" w:rsidR="00411B5C" w:rsidRDefault="00411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0E36" w14:textId="7E04EC88" w:rsidR="007B48CC" w:rsidRDefault="0010301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7E9B639" wp14:editId="2B232310">
              <wp:simplePos x="0" y="0"/>
              <wp:positionH relativeFrom="page">
                <wp:posOffset>6440170</wp:posOffset>
              </wp:positionH>
              <wp:positionV relativeFrom="page">
                <wp:posOffset>9883140</wp:posOffset>
              </wp:positionV>
              <wp:extent cx="2470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7489" w14:textId="77777777" w:rsidR="007B48CC" w:rsidRDefault="00E90905">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9B639" id="_x0000_t202" coordsize="21600,21600" o:spt="202" path="m,l,21600r21600,l21600,xe">
              <v:stroke joinstyle="miter"/>
              <v:path gradientshapeok="t" o:connecttype="rect"/>
            </v:shapetype>
            <v:shape id="Text Box 1" o:spid="_x0000_s1026" type="#_x0000_t202" style="position:absolute;margin-left:507.1pt;margin-top:778.2pt;width:19.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" filled="f" stroked="f">
              <v:textbox inset="0,0,0,0">
                <w:txbxContent>
                  <w:p w14:paraId="4C007489" w14:textId="77777777" w:rsidR="007B48CC" w:rsidRDefault="00E90905">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3637" w14:textId="77777777" w:rsidR="00E90905" w:rsidRDefault="00E90905">
      <w:r>
        <w:separator/>
      </w:r>
    </w:p>
  </w:footnote>
  <w:footnote w:type="continuationSeparator" w:id="0">
    <w:p w14:paraId="3275748C" w14:textId="77777777" w:rsidR="00E90905" w:rsidRDefault="00E90905">
      <w:r>
        <w:continuationSeparator/>
      </w:r>
    </w:p>
  </w:footnote>
  <w:footnote w:type="continuationNotice" w:id="1">
    <w:p w14:paraId="1A8A8566" w14:textId="77777777" w:rsidR="00411B5C" w:rsidRDefault="00411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A0F"/>
    <w:multiLevelType w:val="hybridMultilevel"/>
    <w:tmpl w:val="113C6E2C"/>
    <w:lvl w:ilvl="0" w:tplc="0150CB30">
      <w:numFmt w:val="bullet"/>
      <w:lvlText w:val="•"/>
      <w:lvlJc w:val="left"/>
      <w:pPr>
        <w:ind w:left="1733" w:hanging="425"/>
      </w:pPr>
      <w:rPr>
        <w:rFonts w:ascii="Arial" w:eastAsia="Arial" w:hAnsi="Arial" w:cs="Arial" w:hint="default"/>
        <w:spacing w:val="-25"/>
        <w:w w:val="99"/>
        <w:sz w:val="24"/>
        <w:szCs w:val="24"/>
        <w:lang w:val="en-GB" w:eastAsia="en-GB" w:bidi="en-GB"/>
      </w:rPr>
    </w:lvl>
    <w:lvl w:ilvl="1" w:tplc="8918F3CC">
      <w:numFmt w:val="bullet"/>
      <w:lvlText w:val="•"/>
      <w:lvlJc w:val="left"/>
      <w:pPr>
        <w:ind w:left="2550" w:hanging="425"/>
      </w:pPr>
      <w:rPr>
        <w:rFonts w:hint="default"/>
        <w:lang w:val="en-GB" w:eastAsia="en-GB" w:bidi="en-GB"/>
      </w:rPr>
    </w:lvl>
    <w:lvl w:ilvl="2" w:tplc="7DE2AEBC">
      <w:numFmt w:val="bullet"/>
      <w:lvlText w:val="•"/>
      <w:lvlJc w:val="left"/>
      <w:pPr>
        <w:ind w:left="3361" w:hanging="425"/>
      </w:pPr>
      <w:rPr>
        <w:rFonts w:hint="default"/>
        <w:lang w:val="en-GB" w:eastAsia="en-GB" w:bidi="en-GB"/>
      </w:rPr>
    </w:lvl>
    <w:lvl w:ilvl="3" w:tplc="0F404A3E">
      <w:numFmt w:val="bullet"/>
      <w:lvlText w:val="•"/>
      <w:lvlJc w:val="left"/>
      <w:pPr>
        <w:ind w:left="4171" w:hanging="425"/>
      </w:pPr>
      <w:rPr>
        <w:rFonts w:hint="default"/>
        <w:lang w:val="en-GB" w:eastAsia="en-GB" w:bidi="en-GB"/>
      </w:rPr>
    </w:lvl>
    <w:lvl w:ilvl="4" w:tplc="85082B72">
      <w:numFmt w:val="bullet"/>
      <w:lvlText w:val="•"/>
      <w:lvlJc w:val="left"/>
      <w:pPr>
        <w:ind w:left="4982" w:hanging="425"/>
      </w:pPr>
      <w:rPr>
        <w:rFonts w:hint="default"/>
        <w:lang w:val="en-GB" w:eastAsia="en-GB" w:bidi="en-GB"/>
      </w:rPr>
    </w:lvl>
    <w:lvl w:ilvl="5" w:tplc="42F05AD2">
      <w:numFmt w:val="bullet"/>
      <w:lvlText w:val="•"/>
      <w:lvlJc w:val="left"/>
      <w:pPr>
        <w:ind w:left="5793" w:hanging="425"/>
      </w:pPr>
      <w:rPr>
        <w:rFonts w:hint="default"/>
        <w:lang w:val="en-GB" w:eastAsia="en-GB" w:bidi="en-GB"/>
      </w:rPr>
    </w:lvl>
    <w:lvl w:ilvl="6" w:tplc="9AF895B2">
      <w:numFmt w:val="bullet"/>
      <w:lvlText w:val="•"/>
      <w:lvlJc w:val="left"/>
      <w:pPr>
        <w:ind w:left="6603" w:hanging="425"/>
      </w:pPr>
      <w:rPr>
        <w:rFonts w:hint="default"/>
        <w:lang w:val="en-GB" w:eastAsia="en-GB" w:bidi="en-GB"/>
      </w:rPr>
    </w:lvl>
    <w:lvl w:ilvl="7" w:tplc="738051F0">
      <w:numFmt w:val="bullet"/>
      <w:lvlText w:val="•"/>
      <w:lvlJc w:val="left"/>
      <w:pPr>
        <w:ind w:left="7414" w:hanging="425"/>
      </w:pPr>
      <w:rPr>
        <w:rFonts w:hint="default"/>
        <w:lang w:val="en-GB" w:eastAsia="en-GB" w:bidi="en-GB"/>
      </w:rPr>
    </w:lvl>
    <w:lvl w:ilvl="8" w:tplc="F59AD8F0">
      <w:numFmt w:val="bullet"/>
      <w:lvlText w:val="•"/>
      <w:lvlJc w:val="left"/>
      <w:pPr>
        <w:ind w:left="8225" w:hanging="425"/>
      </w:pPr>
      <w:rPr>
        <w:rFonts w:hint="default"/>
        <w:lang w:val="en-GB" w:eastAsia="en-GB" w:bidi="en-GB"/>
      </w:rPr>
    </w:lvl>
  </w:abstractNum>
  <w:abstractNum w:abstractNumId="1" w15:restartNumberingAfterBreak="0">
    <w:nsid w:val="069C3CF7"/>
    <w:multiLevelType w:val="multilevel"/>
    <w:tmpl w:val="FCC4AF74"/>
    <w:lvl w:ilvl="0">
      <w:start w:val="2"/>
      <w:numFmt w:val="decimal"/>
      <w:lvlText w:val="%1"/>
      <w:lvlJc w:val="left"/>
      <w:pPr>
        <w:ind w:left="1308" w:hanging="708"/>
        <w:jc w:val="left"/>
      </w:pPr>
      <w:rPr>
        <w:rFonts w:hint="default"/>
        <w:lang w:val="en-GB" w:eastAsia="en-GB" w:bidi="en-GB"/>
      </w:rPr>
    </w:lvl>
    <w:lvl w:ilvl="1">
      <w:start w:val="3"/>
      <w:numFmt w:val="decimal"/>
      <w:lvlText w:val="%1.%2"/>
      <w:lvlJc w:val="left"/>
      <w:pPr>
        <w:ind w:left="1308" w:hanging="708"/>
        <w:jc w:val="left"/>
      </w:pPr>
      <w:rPr>
        <w:rFonts w:hint="default"/>
        <w:w w:val="99"/>
        <w:lang w:val="en-GB" w:eastAsia="en-GB" w:bidi="en-GB"/>
      </w:rPr>
    </w:lvl>
    <w:lvl w:ilvl="2">
      <w:numFmt w:val="bullet"/>
      <w:lvlText w:val=""/>
      <w:lvlJc w:val="left"/>
      <w:pPr>
        <w:ind w:left="1680" w:hanging="360"/>
      </w:pPr>
      <w:rPr>
        <w:rFonts w:hint="default"/>
        <w:w w:val="100"/>
        <w:lang w:val="en-GB" w:eastAsia="en-GB" w:bidi="en-GB"/>
      </w:rPr>
    </w:lvl>
    <w:lvl w:ilvl="3">
      <w:numFmt w:val="bullet"/>
      <w:lvlText w:val="•"/>
      <w:lvlJc w:val="left"/>
      <w:pPr>
        <w:ind w:left="3494" w:hanging="360"/>
      </w:pPr>
      <w:rPr>
        <w:rFonts w:hint="default"/>
        <w:lang w:val="en-GB" w:eastAsia="en-GB" w:bidi="en-GB"/>
      </w:rPr>
    </w:lvl>
    <w:lvl w:ilvl="4">
      <w:numFmt w:val="bullet"/>
      <w:lvlText w:val="•"/>
      <w:lvlJc w:val="left"/>
      <w:pPr>
        <w:ind w:left="4402" w:hanging="360"/>
      </w:pPr>
      <w:rPr>
        <w:rFonts w:hint="default"/>
        <w:lang w:val="en-GB" w:eastAsia="en-GB" w:bidi="en-GB"/>
      </w:rPr>
    </w:lvl>
    <w:lvl w:ilvl="5">
      <w:numFmt w:val="bullet"/>
      <w:lvlText w:val="•"/>
      <w:lvlJc w:val="left"/>
      <w:pPr>
        <w:ind w:left="5309" w:hanging="360"/>
      </w:pPr>
      <w:rPr>
        <w:rFonts w:hint="default"/>
        <w:lang w:val="en-GB" w:eastAsia="en-GB" w:bidi="en-GB"/>
      </w:rPr>
    </w:lvl>
    <w:lvl w:ilvl="6">
      <w:numFmt w:val="bullet"/>
      <w:lvlText w:val="•"/>
      <w:lvlJc w:val="left"/>
      <w:pPr>
        <w:ind w:left="6216" w:hanging="360"/>
      </w:pPr>
      <w:rPr>
        <w:rFonts w:hint="default"/>
        <w:lang w:val="en-GB" w:eastAsia="en-GB" w:bidi="en-GB"/>
      </w:rPr>
    </w:lvl>
    <w:lvl w:ilvl="7">
      <w:numFmt w:val="bullet"/>
      <w:lvlText w:val="•"/>
      <w:lvlJc w:val="left"/>
      <w:pPr>
        <w:ind w:left="7124" w:hanging="360"/>
      </w:pPr>
      <w:rPr>
        <w:rFonts w:hint="default"/>
        <w:lang w:val="en-GB" w:eastAsia="en-GB" w:bidi="en-GB"/>
      </w:rPr>
    </w:lvl>
    <w:lvl w:ilvl="8">
      <w:numFmt w:val="bullet"/>
      <w:lvlText w:val="•"/>
      <w:lvlJc w:val="left"/>
      <w:pPr>
        <w:ind w:left="8031" w:hanging="360"/>
      </w:pPr>
      <w:rPr>
        <w:rFonts w:hint="default"/>
        <w:lang w:val="en-GB" w:eastAsia="en-GB" w:bidi="en-GB"/>
      </w:rPr>
    </w:lvl>
  </w:abstractNum>
  <w:abstractNum w:abstractNumId="2" w15:restartNumberingAfterBreak="0">
    <w:nsid w:val="06EA630D"/>
    <w:multiLevelType w:val="hybridMultilevel"/>
    <w:tmpl w:val="894A5E8A"/>
    <w:lvl w:ilvl="0" w:tplc="6B60A9CC">
      <w:numFmt w:val="bullet"/>
      <w:lvlText w:val="•"/>
      <w:lvlJc w:val="left"/>
      <w:pPr>
        <w:ind w:left="1678" w:hanging="370"/>
      </w:pPr>
      <w:rPr>
        <w:rFonts w:ascii="Arial" w:eastAsia="Arial" w:hAnsi="Arial" w:cs="Arial" w:hint="default"/>
        <w:spacing w:val="-4"/>
        <w:w w:val="99"/>
        <w:sz w:val="24"/>
        <w:szCs w:val="24"/>
        <w:lang w:val="en-GB" w:eastAsia="en-GB" w:bidi="en-GB"/>
      </w:rPr>
    </w:lvl>
    <w:lvl w:ilvl="1" w:tplc="941C5C4A">
      <w:numFmt w:val="bullet"/>
      <w:lvlText w:val="•"/>
      <w:lvlJc w:val="left"/>
      <w:pPr>
        <w:ind w:left="2496" w:hanging="370"/>
      </w:pPr>
      <w:rPr>
        <w:rFonts w:hint="default"/>
        <w:lang w:val="en-GB" w:eastAsia="en-GB" w:bidi="en-GB"/>
      </w:rPr>
    </w:lvl>
    <w:lvl w:ilvl="2" w:tplc="0B54F54A">
      <w:numFmt w:val="bullet"/>
      <w:lvlText w:val="•"/>
      <w:lvlJc w:val="left"/>
      <w:pPr>
        <w:ind w:left="3313" w:hanging="370"/>
      </w:pPr>
      <w:rPr>
        <w:rFonts w:hint="default"/>
        <w:lang w:val="en-GB" w:eastAsia="en-GB" w:bidi="en-GB"/>
      </w:rPr>
    </w:lvl>
    <w:lvl w:ilvl="3" w:tplc="9F48028C">
      <w:numFmt w:val="bullet"/>
      <w:lvlText w:val="•"/>
      <w:lvlJc w:val="left"/>
      <w:pPr>
        <w:ind w:left="4129" w:hanging="370"/>
      </w:pPr>
      <w:rPr>
        <w:rFonts w:hint="default"/>
        <w:lang w:val="en-GB" w:eastAsia="en-GB" w:bidi="en-GB"/>
      </w:rPr>
    </w:lvl>
    <w:lvl w:ilvl="4" w:tplc="1990F49E">
      <w:numFmt w:val="bullet"/>
      <w:lvlText w:val="•"/>
      <w:lvlJc w:val="left"/>
      <w:pPr>
        <w:ind w:left="4946" w:hanging="370"/>
      </w:pPr>
      <w:rPr>
        <w:rFonts w:hint="default"/>
        <w:lang w:val="en-GB" w:eastAsia="en-GB" w:bidi="en-GB"/>
      </w:rPr>
    </w:lvl>
    <w:lvl w:ilvl="5" w:tplc="E376A7BE">
      <w:numFmt w:val="bullet"/>
      <w:lvlText w:val="•"/>
      <w:lvlJc w:val="left"/>
      <w:pPr>
        <w:ind w:left="5763" w:hanging="370"/>
      </w:pPr>
      <w:rPr>
        <w:rFonts w:hint="default"/>
        <w:lang w:val="en-GB" w:eastAsia="en-GB" w:bidi="en-GB"/>
      </w:rPr>
    </w:lvl>
    <w:lvl w:ilvl="6" w:tplc="9F8C7074">
      <w:numFmt w:val="bullet"/>
      <w:lvlText w:val="•"/>
      <w:lvlJc w:val="left"/>
      <w:pPr>
        <w:ind w:left="6579" w:hanging="370"/>
      </w:pPr>
      <w:rPr>
        <w:rFonts w:hint="default"/>
        <w:lang w:val="en-GB" w:eastAsia="en-GB" w:bidi="en-GB"/>
      </w:rPr>
    </w:lvl>
    <w:lvl w:ilvl="7" w:tplc="9E00EE6E">
      <w:numFmt w:val="bullet"/>
      <w:lvlText w:val="•"/>
      <w:lvlJc w:val="left"/>
      <w:pPr>
        <w:ind w:left="7396" w:hanging="370"/>
      </w:pPr>
      <w:rPr>
        <w:rFonts w:hint="default"/>
        <w:lang w:val="en-GB" w:eastAsia="en-GB" w:bidi="en-GB"/>
      </w:rPr>
    </w:lvl>
    <w:lvl w:ilvl="8" w:tplc="AF18A7C0">
      <w:numFmt w:val="bullet"/>
      <w:lvlText w:val="•"/>
      <w:lvlJc w:val="left"/>
      <w:pPr>
        <w:ind w:left="8213" w:hanging="370"/>
      </w:pPr>
      <w:rPr>
        <w:rFonts w:hint="default"/>
        <w:lang w:val="en-GB" w:eastAsia="en-GB" w:bidi="en-GB"/>
      </w:rPr>
    </w:lvl>
  </w:abstractNum>
  <w:abstractNum w:abstractNumId="3" w15:restartNumberingAfterBreak="0">
    <w:nsid w:val="096759BF"/>
    <w:multiLevelType w:val="multilevel"/>
    <w:tmpl w:val="55C25C2C"/>
    <w:lvl w:ilvl="0">
      <w:start w:val="1"/>
      <w:numFmt w:val="decimal"/>
      <w:lvlText w:val="%1"/>
      <w:lvlJc w:val="left"/>
      <w:pPr>
        <w:ind w:left="1166" w:hanging="567"/>
        <w:jc w:val="left"/>
      </w:pPr>
      <w:rPr>
        <w:rFonts w:hint="default"/>
        <w:b/>
        <w:bCs/>
        <w:w w:val="99"/>
        <w:lang w:val="en-GB" w:eastAsia="en-GB" w:bidi="en-GB"/>
      </w:rPr>
    </w:lvl>
    <w:lvl w:ilvl="1">
      <w:start w:val="1"/>
      <w:numFmt w:val="decimal"/>
      <w:lvlText w:val="%1.%2"/>
      <w:lvlJc w:val="left"/>
      <w:pPr>
        <w:ind w:left="1166" w:hanging="567"/>
        <w:jc w:val="left"/>
      </w:pPr>
      <w:rPr>
        <w:rFonts w:hint="default"/>
        <w:spacing w:val="-4"/>
        <w:w w:val="99"/>
        <w:lang w:val="en-GB" w:eastAsia="en-GB" w:bidi="en-GB"/>
      </w:rPr>
    </w:lvl>
    <w:lvl w:ilvl="2">
      <w:numFmt w:val="bullet"/>
      <w:lvlText w:val=""/>
      <w:lvlJc w:val="left"/>
      <w:pPr>
        <w:ind w:left="1680" w:hanging="567"/>
      </w:pPr>
      <w:rPr>
        <w:rFonts w:ascii="Symbol" w:eastAsia="Symbol" w:hAnsi="Symbol" w:cs="Symbol" w:hint="default"/>
        <w:w w:val="100"/>
        <w:sz w:val="24"/>
        <w:szCs w:val="24"/>
        <w:lang w:val="en-GB" w:eastAsia="en-GB" w:bidi="en-GB"/>
      </w:rPr>
    </w:lvl>
    <w:lvl w:ilvl="3">
      <w:numFmt w:val="bullet"/>
      <w:lvlText w:val="o"/>
      <w:lvlJc w:val="left"/>
      <w:pPr>
        <w:ind w:left="2040" w:hanging="360"/>
      </w:pPr>
      <w:rPr>
        <w:rFonts w:ascii="Courier New" w:eastAsia="Courier New" w:hAnsi="Courier New" w:cs="Courier New" w:hint="default"/>
        <w:w w:val="100"/>
        <w:sz w:val="24"/>
        <w:szCs w:val="24"/>
        <w:lang w:val="en-GB" w:eastAsia="en-GB" w:bidi="en-GB"/>
      </w:rPr>
    </w:lvl>
    <w:lvl w:ilvl="4">
      <w:numFmt w:val="bullet"/>
      <w:lvlText w:val="•"/>
      <w:lvlJc w:val="left"/>
      <w:pPr>
        <w:ind w:left="1680" w:hanging="360"/>
      </w:pPr>
      <w:rPr>
        <w:rFonts w:hint="default"/>
        <w:lang w:val="en-GB" w:eastAsia="en-GB" w:bidi="en-GB"/>
      </w:rPr>
    </w:lvl>
    <w:lvl w:ilvl="5">
      <w:numFmt w:val="bullet"/>
      <w:lvlText w:val="•"/>
      <w:lvlJc w:val="left"/>
      <w:pPr>
        <w:ind w:left="1740" w:hanging="360"/>
      </w:pPr>
      <w:rPr>
        <w:rFonts w:hint="default"/>
        <w:lang w:val="en-GB" w:eastAsia="en-GB" w:bidi="en-GB"/>
      </w:rPr>
    </w:lvl>
    <w:lvl w:ilvl="6">
      <w:numFmt w:val="bullet"/>
      <w:lvlText w:val="•"/>
      <w:lvlJc w:val="left"/>
      <w:pPr>
        <w:ind w:left="1840" w:hanging="360"/>
      </w:pPr>
      <w:rPr>
        <w:rFonts w:hint="default"/>
        <w:lang w:val="en-GB" w:eastAsia="en-GB" w:bidi="en-GB"/>
      </w:rPr>
    </w:lvl>
    <w:lvl w:ilvl="7">
      <w:numFmt w:val="bullet"/>
      <w:lvlText w:val="•"/>
      <w:lvlJc w:val="left"/>
      <w:pPr>
        <w:ind w:left="1880" w:hanging="360"/>
      </w:pPr>
      <w:rPr>
        <w:rFonts w:hint="default"/>
        <w:lang w:val="en-GB" w:eastAsia="en-GB" w:bidi="en-GB"/>
      </w:rPr>
    </w:lvl>
    <w:lvl w:ilvl="8">
      <w:numFmt w:val="bullet"/>
      <w:lvlText w:val="•"/>
      <w:lvlJc w:val="left"/>
      <w:pPr>
        <w:ind w:left="2020" w:hanging="360"/>
      </w:pPr>
      <w:rPr>
        <w:rFonts w:hint="default"/>
        <w:lang w:val="en-GB" w:eastAsia="en-GB" w:bidi="en-GB"/>
      </w:rPr>
    </w:lvl>
  </w:abstractNum>
  <w:abstractNum w:abstractNumId="4" w15:restartNumberingAfterBreak="0">
    <w:nsid w:val="2AE3704F"/>
    <w:multiLevelType w:val="hybridMultilevel"/>
    <w:tmpl w:val="A0EACA3C"/>
    <w:lvl w:ilvl="0" w:tplc="DB7E0FE0">
      <w:start w:val="1"/>
      <w:numFmt w:val="decimal"/>
      <w:lvlText w:val="%1."/>
      <w:lvlJc w:val="left"/>
      <w:pPr>
        <w:ind w:left="1320" w:hanging="360"/>
        <w:jc w:val="left"/>
      </w:pPr>
      <w:rPr>
        <w:rFonts w:ascii="Arial" w:eastAsia="Arial" w:hAnsi="Arial" w:cs="Arial" w:hint="default"/>
        <w:color w:val="242424"/>
        <w:spacing w:val="-3"/>
        <w:w w:val="99"/>
        <w:sz w:val="24"/>
        <w:szCs w:val="24"/>
        <w:lang w:val="en-GB" w:eastAsia="en-GB" w:bidi="en-GB"/>
      </w:rPr>
    </w:lvl>
    <w:lvl w:ilvl="1" w:tplc="5DBA2706">
      <w:numFmt w:val="bullet"/>
      <w:lvlText w:val="•"/>
      <w:lvlJc w:val="left"/>
      <w:pPr>
        <w:ind w:left="2172" w:hanging="360"/>
      </w:pPr>
      <w:rPr>
        <w:rFonts w:hint="default"/>
        <w:lang w:val="en-GB" w:eastAsia="en-GB" w:bidi="en-GB"/>
      </w:rPr>
    </w:lvl>
    <w:lvl w:ilvl="2" w:tplc="5DDC59C6">
      <w:numFmt w:val="bullet"/>
      <w:lvlText w:val="•"/>
      <w:lvlJc w:val="left"/>
      <w:pPr>
        <w:ind w:left="3025" w:hanging="360"/>
      </w:pPr>
      <w:rPr>
        <w:rFonts w:hint="default"/>
        <w:lang w:val="en-GB" w:eastAsia="en-GB" w:bidi="en-GB"/>
      </w:rPr>
    </w:lvl>
    <w:lvl w:ilvl="3" w:tplc="84E48738">
      <w:numFmt w:val="bullet"/>
      <w:lvlText w:val="•"/>
      <w:lvlJc w:val="left"/>
      <w:pPr>
        <w:ind w:left="3877" w:hanging="360"/>
      </w:pPr>
      <w:rPr>
        <w:rFonts w:hint="default"/>
        <w:lang w:val="en-GB" w:eastAsia="en-GB" w:bidi="en-GB"/>
      </w:rPr>
    </w:lvl>
    <w:lvl w:ilvl="4" w:tplc="DC148354">
      <w:numFmt w:val="bullet"/>
      <w:lvlText w:val="•"/>
      <w:lvlJc w:val="left"/>
      <w:pPr>
        <w:ind w:left="4730" w:hanging="360"/>
      </w:pPr>
      <w:rPr>
        <w:rFonts w:hint="default"/>
        <w:lang w:val="en-GB" w:eastAsia="en-GB" w:bidi="en-GB"/>
      </w:rPr>
    </w:lvl>
    <w:lvl w:ilvl="5" w:tplc="9EFCA476">
      <w:numFmt w:val="bullet"/>
      <w:lvlText w:val="•"/>
      <w:lvlJc w:val="left"/>
      <w:pPr>
        <w:ind w:left="5583" w:hanging="360"/>
      </w:pPr>
      <w:rPr>
        <w:rFonts w:hint="default"/>
        <w:lang w:val="en-GB" w:eastAsia="en-GB" w:bidi="en-GB"/>
      </w:rPr>
    </w:lvl>
    <w:lvl w:ilvl="6" w:tplc="D70C94BA">
      <w:numFmt w:val="bullet"/>
      <w:lvlText w:val="•"/>
      <w:lvlJc w:val="left"/>
      <w:pPr>
        <w:ind w:left="6435" w:hanging="360"/>
      </w:pPr>
      <w:rPr>
        <w:rFonts w:hint="default"/>
        <w:lang w:val="en-GB" w:eastAsia="en-GB" w:bidi="en-GB"/>
      </w:rPr>
    </w:lvl>
    <w:lvl w:ilvl="7" w:tplc="3920F3CA">
      <w:numFmt w:val="bullet"/>
      <w:lvlText w:val="•"/>
      <w:lvlJc w:val="left"/>
      <w:pPr>
        <w:ind w:left="7288" w:hanging="360"/>
      </w:pPr>
      <w:rPr>
        <w:rFonts w:hint="default"/>
        <w:lang w:val="en-GB" w:eastAsia="en-GB" w:bidi="en-GB"/>
      </w:rPr>
    </w:lvl>
    <w:lvl w:ilvl="8" w:tplc="37BC94B2">
      <w:numFmt w:val="bullet"/>
      <w:lvlText w:val="•"/>
      <w:lvlJc w:val="left"/>
      <w:pPr>
        <w:ind w:left="8141" w:hanging="360"/>
      </w:pPr>
      <w:rPr>
        <w:rFonts w:hint="default"/>
        <w:lang w:val="en-GB" w:eastAsia="en-GB" w:bidi="en-GB"/>
      </w:rPr>
    </w:lvl>
  </w:abstractNum>
  <w:abstractNum w:abstractNumId="5" w15:restartNumberingAfterBreak="0">
    <w:nsid w:val="34CD6595"/>
    <w:multiLevelType w:val="hybridMultilevel"/>
    <w:tmpl w:val="9570885C"/>
    <w:lvl w:ilvl="0" w:tplc="C1648A6A">
      <w:numFmt w:val="bullet"/>
      <w:lvlText w:val="•"/>
      <w:lvlJc w:val="left"/>
      <w:pPr>
        <w:ind w:left="600" w:hanging="151"/>
      </w:pPr>
      <w:rPr>
        <w:rFonts w:ascii="Arial" w:eastAsia="Arial" w:hAnsi="Arial" w:cs="Arial" w:hint="default"/>
        <w:spacing w:val="-4"/>
        <w:w w:val="99"/>
        <w:sz w:val="24"/>
        <w:szCs w:val="24"/>
        <w:lang w:val="en-GB" w:eastAsia="en-GB" w:bidi="en-GB"/>
      </w:rPr>
    </w:lvl>
    <w:lvl w:ilvl="1" w:tplc="808E55E2">
      <w:numFmt w:val="bullet"/>
      <w:lvlText w:val="•"/>
      <w:lvlJc w:val="left"/>
      <w:pPr>
        <w:ind w:left="1524" w:hanging="151"/>
      </w:pPr>
      <w:rPr>
        <w:rFonts w:hint="default"/>
        <w:lang w:val="en-GB" w:eastAsia="en-GB" w:bidi="en-GB"/>
      </w:rPr>
    </w:lvl>
    <w:lvl w:ilvl="2" w:tplc="5860CA30">
      <w:numFmt w:val="bullet"/>
      <w:lvlText w:val="•"/>
      <w:lvlJc w:val="left"/>
      <w:pPr>
        <w:ind w:left="2449" w:hanging="151"/>
      </w:pPr>
      <w:rPr>
        <w:rFonts w:hint="default"/>
        <w:lang w:val="en-GB" w:eastAsia="en-GB" w:bidi="en-GB"/>
      </w:rPr>
    </w:lvl>
    <w:lvl w:ilvl="3" w:tplc="063EE124">
      <w:numFmt w:val="bullet"/>
      <w:lvlText w:val="•"/>
      <w:lvlJc w:val="left"/>
      <w:pPr>
        <w:ind w:left="3373" w:hanging="151"/>
      </w:pPr>
      <w:rPr>
        <w:rFonts w:hint="default"/>
        <w:lang w:val="en-GB" w:eastAsia="en-GB" w:bidi="en-GB"/>
      </w:rPr>
    </w:lvl>
    <w:lvl w:ilvl="4" w:tplc="CAB2AE52">
      <w:numFmt w:val="bullet"/>
      <w:lvlText w:val="•"/>
      <w:lvlJc w:val="left"/>
      <w:pPr>
        <w:ind w:left="4298" w:hanging="151"/>
      </w:pPr>
      <w:rPr>
        <w:rFonts w:hint="default"/>
        <w:lang w:val="en-GB" w:eastAsia="en-GB" w:bidi="en-GB"/>
      </w:rPr>
    </w:lvl>
    <w:lvl w:ilvl="5" w:tplc="2446D768">
      <w:numFmt w:val="bullet"/>
      <w:lvlText w:val="•"/>
      <w:lvlJc w:val="left"/>
      <w:pPr>
        <w:ind w:left="5223" w:hanging="151"/>
      </w:pPr>
      <w:rPr>
        <w:rFonts w:hint="default"/>
        <w:lang w:val="en-GB" w:eastAsia="en-GB" w:bidi="en-GB"/>
      </w:rPr>
    </w:lvl>
    <w:lvl w:ilvl="6" w:tplc="4A10C3AA">
      <w:numFmt w:val="bullet"/>
      <w:lvlText w:val="•"/>
      <w:lvlJc w:val="left"/>
      <w:pPr>
        <w:ind w:left="6147" w:hanging="151"/>
      </w:pPr>
      <w:rPr>
        <w:rFonts w:hint="default"/>
        <w:lang w:val="en-GB" w:eastAsia="en-GB" w:bidi="en-GB"/>
      </w:rPr>
    </w:lvl>
    <w:lvl w:ilvl="7" w:tplc="CC88F56C">
      <w:numFmt w:val="bullet"/>
      <w:lvlText w:val="•"/>
      <w:lvlJc w:val="left"/>
      <w:pPr>
        <w:ind w:left="7072" w:hanging="151"/>
      </w:pPr>
      <w:rPr>
        <w:rFonts w:hint="default"/>
        <w:lang w:val="en-GB" w:eastAsia="en-GB" w:bidi="en-GB"/>
      </w:rPr>
    </w:lvl>
    <w:lvl w:ilvl="8" w:tplc="F2A08C1A">
      <w:numFmt w:val="bullet"/>
      <w:lvlText w:val="•"/>
      <w:lvlJc w:val="left"/>
      <w:pPr>
        <w:ind w:left="7997" w:hanging="151"/>
      </w:pPr>
      <w:rPr>
        <w:rFonts w:hint="default"/>
        <w:lang w:val="en-GB" w:eastAsia="en-GB" w:bidi="en-GB"/>
      </w:rPr>
    </w:lvl>
  </w:abstractNum>
  <w:abstractNum w:abstractNumId="6" w15:restartNumberingAfterBreak="0">
    <w:nsid w:val="3B0C6938"/>
    <w:multiLevelType w:val="multilevel"/>
    <w:tmpl w:val="A290FE9E"/>
    <w:lvl w:ilvl="0">
      <w:start w:val="4"/>
      <w:numFmt w:val="decimal"/>
      <w:lvlText w:val="%1"/>
      <w:lvlJc w:val="left"/>
      <w:pPr>
        <w:ind w:left="1320" w:hanging="720"/>
        <w:jc w:val="left"/>
      </w:pPr>
      <w:rPr>
        <w:rFonts w:hint="default"/>
        <w:lang w:val="en-GB" w:eastAsia="en-GB" w:bidi="en-GB"/>
      </w:rPr>
    </w:lvl>
    <w:lvl w:ilvl="1">
      <w:start w:val="5"/>
      <w:numFmt w:val="decimal"/>
      <w:lvlText w:val="%1.%2"/>
      <w:lvlJc w:val="left"/>
      <w:pPr>
        <w:ind w:left="1320" w:hanging="720"/>
        <w:jc w:val="left"/>
      </w:pPr>
      <w:rPr>
        <w:rFonts w:hint="default"/>
        <w:w w:val="99"/>
        <w:lang w:val="en-GB" w:eastAsia="en-GB" w:bidi="en-GB"/>
      </w:rPr>
    </w:lvl>
    <w:lvl w:ilvl="2">
      <w:numFmt w:val="bullet"/>
      <w:lvlText w:val="•"/>
      <w:lvlJc w:val="left"/>
      <w:pPr>
        <w:ind w:left="3025" w:hanging="720"/>
      </w:pPr>
      <w:rPr>
        <w:rFonts w:hint="default"/>
        <w:lang w:val="en-GB" w:eastAsia="en-GB" w:bidi="en-GB"/>
      </w:rPr>
    </w:lvl>
    <w:lvl w:ilvl="3">
      <w:numFmt w:val="bullet"/>
      <w:lvlText w:val="•"/>
      <w:lvlJc w:val="left"/>
      <w:pPr>
        <w:ind w:left="3877" w:hanging="720"/>
      </w:pPr>
      <w:rPr>
        <w:rFonts w:hint="default"/>
        <w:lang w:val="en-GB" w:eastAsia="en-GB" w:bidi="en-GB"/>
      </w:rPr>
    </w:lvl>
    <w:lvl w:ilvl="4">
      <w:numFmt w:val="bullet"/>
      <w:lvlText w:val="•"/>
      <w:lvlJc w:val="left"/>
      <w:pPr>
        <w:ind w:left="4730" w:hanging="720"/>
      </w:pPr>
      <w:rPr>
        <w:rFonts w:hint="default"/>
        <w:lang w:val="en-GB" w:eastAsia="en-GB" w:bidi="en-GB"/>
      </w:rPr>
    </w:lvl>
    <w:lvl w:ilvl="5">
      <w:numFmt w:val="bullet"/>
      <w:lvlText w:val="•"/>
      <w:lvlJc w:val="left"/>
      <w:pPr>
        <w:ind w:left="5583" w:hanging="720"/>
      </w:pPr>
      <w:rPr>
        <w:rFonts w:hint="default"/>
        <w:lang w:val="en-GB" w:eastAsia="en-GB" w:bidi="en-GB"/>
      </w:rPr>
    </w:lvl>
    <w:lvl w:ilvl="6">
      <w:numFmt w:val="bullet"/>
      <w:lvlText w:val="•"/>
      <w:lvlJc w:val="left"/>
      <w:pPr>
        <w:ind w:left="6435" w:hanging="720"/>
      </w:pPr>
      <w:rPr>
        <w:rFonts w:hint="default"/>
        <w:lang w:val="en-GB" w:eastAsia="en-GB" w:bidi="en-GB"/>
      </w:rPr>
    </w:lvl>
    <w:lvl w:ilvl="7">
      <w:numFmt w:val="bullet"/>
      <w:lvlText w:val="•"/>
      <w:lvlJc w:val="left"/>
      <w:pPr>
        <w:ind w:left="7288" w:hanging="720"/>
      </w:pPr>
      <w:rPr>
        <w:rFonts w:hint="default"/>
        <w:lang w:val="en-GB" w:eastAsia="en-GB" w:bidi="en-GB"/>
      </w:rPr>
    </w:lvl>
    <w:lvl w:ilvl="8">
      <w:numFmt w:val="bullet"/>
      <w:lvlText w:val="•"/>
      <w:lvlJc w:val="left"/>
      <w:pPr>
        <w:ind w:left="8141" w:hanging="720"/>
      </w:pPr>
      <w:rPr>
        <w:rFonts w:hint="default"/>
        <w:lang w:val="en-GB" w:eastAsia="en-GB" w:bidi="en-GB"/>
      </w:rPr>
    </w:lvl>
  </w:abstractNum>
  <w:abstractNum w:abstractNumId="7" w15:restartNumberingAfterBreak="0">
    <w:nsid w:val="3FD8766E"/>
    <w:multiLevelType w:val="hybridMultilevel"/>
    <w:tmpl w:val="71DA16FC"/>
    <w:lvl w:ilvl="0" w:tplc="2AF093C2">
      <w:numFmt w:val="bullet"/>
      <w:lvlText w:val=""/>
      <w:lvlJc w:val="left"/>
      <w:pPr>
        <w:ind w:left="1848" w:hanging="425"/>
      </w:pPr>
      <w:rPr>
        <w:rFonts w:ascii="Symbol" w:eastAsia="Symbol" w:hAnsi="Symbol" w:cs="Symbol" w:hint="default"/>
        <w:w w:val="100"/>
        <w:sz w:val="24"/>
        <w:szCs w:val="24"/>
        <w:lang w:val="en-GB" w:eastAsia="en-GB" w:bidi="en-GB"/>
      </w:rPr>
    </w:lvl>
    <w:lvl w:ilvl="1" w:tplc="101AFE5C">
      <w:numFmt w:val="bullet"/>
      <w:lvlText w:val="•"/>
      <w:lvlJc w:val="left"/>
      <w:pPr>
        <w:ind w:left="2640" w:hanging="425"/>
      </w:pPr>
      <w:rPr>
        <w:rFonts w:hint="default"/>
        <w:lang w:val="en-GB" w:eastAsia="en-GB" w:bidi="en-GB"/>
      </w:rPr>
    </w:lvl>
    <w:lvl w:ilvl="2" w:tplc="D6B21F60">
      <w:numFmt w:val="bullet"/>
      <w:lvlText w:val="•"/>
      <w:lvlJc w:val="left"/>
      <w:pPr>
        <w:ind w:left="3441" w:hanging="425"/>
      </w:pPr>
      <w:rPr>
        <w:rFonts w:hint="default"/>
        <w:lang w:val="en-GB" w:eastAsia="en-GB" w:bidi="en-GB"/>
      </w:rPr>
    </w:lvl>
    <w:lvl w:ilvl="3" w:tplc="FE22FD22">
      <w:numFmt w:val="bullet"/>
      <w:lvlText w:val="•"/>
      <w:lvlJc w:val="left"/>
      <w:pPr>
        <w:ind w:left="4241" w:hanging="425"/>
      </w:pPr>
      <w:rPr>
        <w:rFonts w:hint="default"/>
        <w:lang w:val="en-GB" w:eastAsia="en-GB" w:bidi="en-GB"/>
      </w:rPr>
    </w:lvl>
    <w:lvl w:ilvl="4" w:tplc="BA5CEC38">
      <w:numFmt w:val="bullet"/>
      <w:lvlText w:val="•"/>
      <w:lvlJc w:val="left"/>
      <w:pPr>
        <w:ind w:left="5042" w:hanging="425"/>
      </w:pPr>
      <w:rPr>
        <w:rFonts w:hint="default"/>
        <w:lang w:val="en-GB" w:eastAsia="en-GB" w:bidi="en-GB"/>
      </w:rPr>
    </w:lvl>
    <w:lvl w:ilvl="5" w:tplc="E02C75D0">
      <w:numFmt w:val="bullet"/>
      <w:lvlText w:val="•"/>
      <w:lvlJc w:val="left"/>
      <w:pPr>
        <w:ind w:left="5843" w:hanging="425"/>
      </w:pPr>
      <w:rPr>
        <w:rFonts w:hint="default"/>
        <w:lang w:val="en-GB" w:eastAsia="en-GB" w:bidi="en-GB"/>
      </w:rPr>
    </w:lvl>
    <w:lvl w:ilvl="6" w:tplc="0D20D15A">
      <w:numFmt w:val="bullet"/>
      <w:lvlText w:val="•"/>
      <w:lvlJc w:val="left"/>
      <w:pPr>
        <w:ind w:left="6643" w:hanging="425"/>
      </w:pPr>
      <w:rPr>
        <w:rFonts w:hint="default"/>
        <w:lang w:val="en-GB" w:eastAsia="en-GB" w:bidi="en-GB"/>
      </w:rPr>
    </w:lvl>
    <w:lvl w:ilvl="7" w:tplc="DEA4FCF4">
      <w:numFmt w:val="bullet"/>
      <w:lvlText w:val="•"/>
      <w:lvlJc w:val="left"/>
      <w:pPr>
        <w:ind w:left="7444" w:hanging="425"/>
      </w:pPr>
      <w:rPr>
        <w:rFonts w:hint="default"/>
        <w:lang w:val="en-GB" w:eastAsia="en-GB" w:bidi="en-GB"/>
      </w:rPr>
    </w:lvl>
    <w:lvl w:ilvl="8" w:tplc="DB2CBCA0">
      <w:numFmt w:val="bullet"/>
      <w:lvlText w:val="•"/>
      <w:lvlJc w:val="left"/>
      <w:pPr>
        <w:ind w:left="8245" w:hanging="425"/>
      </w:pPr>
      <w:rPr>
        <w:rFonts w:hint="default"/>
        <w:lang w:val="en-GB" w:eastAsia="en-GB" w:bidi="en-GB"/>
      </w:rPr>
    </w:lvl>
  </w:abstractNum>
  <w:abstractNum w:abstractNumId="8" w15:restartNumberingAfterBreak="0">
    <w:nsid w:val="6A5216F9"/>
    <w:multiLevelType w:val="hybridMultilevel"/>
    <w:tmpl w:val="1DDE143A"/>
    <w:lvl w:ilvl="0" w:tplc="334EBE6C">
      <w:numFmt w:val="bullet"/>
      <w:lvlText w:val="•"/>
      <w:lvlJc w:val="left"/>
      <w:pPr>
        <w:ind w:left="1452" w:hanging="156"/>
      </w:pPr>
      <w:rPr>
        <w:rFonts w:ascii="Arial" w:eastAsia="Arial" w:hAnsi="Arial" w:cs="Arial" w:hint="default"/>
        <w:w w:val="100"/>
        <w:sz w:val="24"/>
        <w:szCs w:val="24"/>
        <w:lang w:val="en-GB" w:eastAsia="en-GB" w:bidi="en-GB"/>
      </w:rPr>
    </w:lvl>
    <w:lvl w:ilvl="1" w:tplc="D71CD198">
      <w:numFmt w:val="bullet"/>
      <w:lvlText w:val="•"/>
      <w:lvlJc w:val="left"/>
      <w:pPr>
        <w:ind w:left="2298" w:hanging="156"/>
      </w:pPr>
      <w:rPr>
        <w:rFonts w:hint="default"/>
        <w:lang w:val="en-GB" w:eastAsia="en-GB" w:bidi="en-GB"/>
      </w:rPr>
    </w:lvl>
    <w:lvl w:ilvl="2" w:tplc="2D1CD508">
      <w:numFmt w:val="bullet"/>
      <w:lvlText w:val="•"/>
      <w:lvlJc w:val="left"/>
      <w:pPr>
        <w:ind w:left="3137" w:hanging="156"/>
      </w:pPr>
      <w:rPr>
        <w:rFonts w:hint="default"/>
        <w:lang w:val="en-GB" w:eastAsia="en-GB" w:bidi="en-GB"/>
      </w:rPr>
    </w:lvl>
    <w:lvl w:ilvl="3" w:tplc="34365C6A">
      <w:numFmt w:val="bullet"/>
      <w:lvlText w:val="•"/>
      <w:lvlJc w:val="left"/>
      <w:pPr>
        <w:ind w:left="3975" w:hanging="156"/>
      </w:pPr>
      <w:rPr>
        <w:rFonts w:hint="default"/>
        <w:lang w:val="en-GB" w:eastAsia="en-GB" w:bidi="en-GB"/>
      </w:rPr>
    </w:lvl>
    <w:lvl w:ilvl="4" w:tplc="CF2C73DA">
      <w:numFmt w:val="bullet"/>
      <w:lvlText w:val="•"/>
      <w:lvlJc w:val="left"/>
      <w:pPr>
        <w:ind w:left="4814" w:hanging="156"/>
      </w:pPr>
      <w:rPr>
        <w:rFonts w:hint="default"/>
        <w:lang w:val="en-GB" w:eastAsia="en-GB" w:bidi="en-GB"/>
      </w:rPr>
    </w:lvl>
    <w:lvl w:ilvl="5" w:tplc="124E823A">
      <w:numFmt w:val="bullet"/>
      <w:lvlText w:val="•"/>
      <w:lvlJc w:val="left"/>
      <w:pPr>
        <w:ind w:left="5653" w:hanging="156"/>
      </w:pPr>
      <w:rPr>
        <w:rFonts w:hint="default"/>
        <w:lang w:val="en-GB" w:eastAsia="en-GB" w:bidi="en-GB"/>
      </w:rPr>
    </w:lvl>
    <w:lvl w:ilvl="6" w:tplc="7BDC31E6">
      <w:numFmt w:val="bullet"/>
      <w:lvlText w:val="•"/>
      <w:lvlJc w:val="left"/>
      <w:pPr>
        <w:ind w:left="6491" w:hanging="156"/>
      </w:pPr>
      <w:rPr>
        <w:rFonts w:hint="default"/>
        <w:lang w:val="en-GB" w:eastAsia="en-GB" w:bidi="en-GB"/>
      </w:rPr>
    </w:lvl>
    <w:lvl w:ilvl="7" w:tplc="CF08DF40">
      <w:numFmt w:val="bullet"/>
      <w:lvlText w:val="•"/>
      <w:lvlJc w:val="left"/>
      <w:pPr>
        <w:ind w:left="7330" w:hanging="156"/>
      </w:pPr>
      <w:rPr>
        <w:rFonts w:hint="default"/>
        <w:lang w:val="en-GB" w:eastAsia="en-GB" w:bidi="en-GB"/>
      </w:rPr>
    </w:lvl>
    <w:lvl w:ilvl="8" w:tplc="5E5437D6">
      <w:numFmt w:val="bullet"/>
      <w:lvlText w:val="•"/>
      <w:lvlJc w:val="left"/>
      <w:pPr>
        <w:ind w:left="8169" w:hanging="156"/>
      </w:pPr>
      <w:rPr>
        <w:rFonts w:hint="default"/>
        <w:lang w:val="en-GB" w:eastAsia="en-GB" w:bidi="en-GB"/>
      </w:rPr>
    </w:lvl>
  </w:abstractNum>
  <w:abstractNum w:abstractNumId="9" w15:restartNumberingAfterBreak="0">
    <w:nsid w:val="6F1547A8"/>
    <w:multiLevelType w:val="multilevel"/>
    <w:tmpl w:val="7B0E4024"/>
    <w:lvl w:ilvl="0">
      <w:start w:val="8"/>
      <w:numFmt w:val="decimal"/>
      <w:lvlText w:val="%1"/>
      <w:lvlJc w:val="left"/>
      <w:pPr>
        <w:ind w:left="1308" w:hanging="708"/>
        <w:jc w:val="left"/>
      </w:pPr>
      <w:rPr>
        <w:rFonts w:hint="default"/>
        <w:lang w:val="en-GB" w:eastAsia="en-GB" w:bidi="en-GB"/>
      </w:rPr>
    </w:lvl>
    <w:lvl w:ilvl="1">
      <w:start w:val="4"/>
      <w:numFmt w:val="decimal"/>
      <w:lvlText w:val="%1.%2"/>
      <w:lvlJc w:val="left"/>
      <w:pPr>
        <w:ind w:left="1308" w:hanging="708"/>
        <w:jc w:val="left"/>
      </w:pPr>
      <w:rPr>
        <w:rFonts w:hint="default"/>
        <w:w w:val="99"/>
        <w:lang w:val="en-GB" w:eastAsia="en-GB" w:bidi="en-GB"/>
      </w:rPr>
    </w:lvl>
    <w:lvl w:ilvl="2">
      <w:numFmt w:val="bullet"/>
      <w:lvlText w:val="•"/>
      <w:lvlJc w:val="left"/>
      <w:pPr>
        <w:ind w:left="3009" w:hanging="708"/>
      </w:pPr>
      <w:rPr>
        <w:rFonts w:hint="default"/>
        <w:lang w:val="en-GB" w:eastAsia="en-GB" w:bidi="en-GB"/>
      </w:rPr>
    </w:lvl>
    <w:lvl w:ilvl="3">
      <w:numFmt w:val="bullet"/>
      <w:lvlText w:val="•"/>
      <w:lvlJc w:val="left"/>
      <w:pPr>
        <w:ind w:left="3863" w:hanging="708"/>
      </w:pPr>
      <w:rPr>
        <w:rFonts w:hint="default"/>
        <w:lang w:val="en-GB" w:eastAsia="en-GB" w:bidi="en-GB"/>
      </w:rPr>
    </w:lvl>
    <w:lvl w:ilvl="4">
      <w:numFmt w:val="bullet"/>
      <w:lvlText w:val="•"/>
      <w:lvlJc w:val="left"/>
      <w:pPr>
        <w:ind w:left="4718" w:hanging="708"/>
      </w:pPr>
      <w:rPr>
        <w:rFonts w:hint="default"/>
        <w:lang w:val="en-GB" w:eastAsia="en-GB" w:bidi="en-GB"/>
      </w:rPr>
    </w:lvl>
    <w:lvl w:ilvl="5">
      <w:numFmt w:val="bullet"/>
      <w:lvlText w:val="•"/>
      <w:lvlJc w:val="left"/>
      <w:pPr>
        <w:ind w:left="5573" w:hanging="708"/>
      </w:pPr>
      <w:rPr>
        <w:rFonts w:hint="default"/>
        <w:lang w:val="en-GB" w:eastAsia="en-GB" w:bidi="en-GB"/>
      </w:rPr>
    </w:lvl>
    <w:lvl w:ilvl="6">
      <w:numFmt w:val="bullet"/>
      <w:lvlText w:val="•"/>
      <w:lvlJc w:val="left"/>
      <w:pPr>
        <w:ind w:left="6427" w:hanging="708"/>
      </w:pPr>
      <w:rPr>
        <w:rFonts w:hint="default"/>
        <w:lang w:val="en-GB" w:eastAsia="en-GB" w:bidi="en-GB"/>
      </w:rPr>
    </w:lvl>
    <w:lvl w:ilvl="7">
      <w:numFmt w:val="bullet"/>
      <w:lvlText w:val="•"/>
      <w:lvlJc w:val="left"/>
      <w:pPr>
        <w:ind w:left="7282" w:hanging="708"/>
      </w:pPr>
      <w:rPr>
        <w:rFonts w:hint="default"/>
        <w:lang w:val="en-GB" w:eastAsia="en-GB" w:bidi="en-GB"/>
      </w:rPr>
    </w:lvl>
    <w:lvl w:ilvl="8">
      <w:numFmt w:val="bullet"/>
      <w:lvlText w:val="•"/>
      <w:lvlJc w:val="left"/>
      <w:pPr>
        <w:ind w:left="8137" w:hanging="708"/>
      </w:pPr>
      <w:rPr>
        <w:rFonts w:hint="default"/>
        <w:lang w:val="en-GB" w:eastAsia="en-GB" w:bidi="en-GB"/>
      </w:rPr>
    </w:lvl>
  </w:abstractNum>
  <w:abstractNum w:abstractNumId="10" w15:restartNumberingAfterBreak="0">
    <w:nsid w:val="741B03E8"/>
    <w:multiLevelType w:val="multilevel"/>
    <w:tmpl w:val="06AC3B4A"/>
    <w:lvl w:ilvl="0">
      <w:start w:val="4"/>
      <w:numFmt w:val="decimal"/>
      <w:lvlText w:val="%1"/>
      <w:lvlJc w:val="left"/>
      <w:pPr>
        <w:ind w:left="1320" w:hanging="720"/>
        <w:jc w:val="left"/>
      </w:pPr>
      <w:rPr>
        <w:rFonts w:hint="default"/>
        <w:lang w:val="en-GB" w:eastAsia="en-GB" w:bidi="en-GB"/>
      </w:rPr>
    </w:lvl>
    <w:lvl w:ilvl="1">
      <w:start w:val="8"/>
      <w:numFmt w:val="decimal"/>
      <w:lvlText w:val="%1.%2"/>
      <w:lvlJc w:val="left"/>
      <w:pPr>
        <w:ind w:left="1320" w:hanging="720"/>
        <w:jc w:val="left"/>
      </w:pPr>
      <w:rPr>
        <w:rFonts w:ascii="Arial" w:eastAsia="Arial" w:hAnsi="Arial" w:cs="Arial" w:hint="default"/>
        <w:color w:val="1F1F1F"/>
        <w:spacing w:val="-33"/>
        <w:w w:val="99"/>
        <w:sz w:val="24"/>
        <w:szCs w:val="24"/>
        <w:lang w:val="en-GB" w:eastAsia="en-GB" w:bidi="en-GB"/>
      </w:rPr>
    </w:lvl>
    <w:lvl w:ilvl="2">
      <w:numFmt w:val="bullet"/>
      <w:lvlText w:val=""/>
      <w:lvlJc w:val="left"/>
      <w:pPr>
        <w:ind w:left="1865" w:hanging="358"/>
      </w:pPr>
      <w:rPr>
        <w:rFonts w:ascii="Symbol" w:eastAsia="Symbol" w:hAnsi="Symbol" w:cs="Symbol" w:hint="default"/>
        <w:color w:val="1F1F1F"/>
        <w:w w:val="100"/>
        <w:sz w:val="24"/>
        <w:szCs w:val="24"/>
        <w:lang w:val="en-GB" w:eastAsia="en-GB" w:bidi="en-GB"/>
      </w:rPr>
    </w:lvl>
    <w:lvl w:ilvl="3">
      <w:numFmt w:val="bullet"/>
      <w:lvlText w:val="•"/>
      <w:lvlJc w:val="left"/>
      <w:pPr>
        <w:ind w:left="2875" w:hanging="358"/>
      </w:pPr>
      <w:rPr>
        <w:rFonts w:hint="default"/>
        <w:lang w:val="en-GB" w:eastAsia="en-GB" w:bidi="en-GB"/>
      </w:rPr>
    </w:lvl>
    <w:lvl w:ilvl="4">
      <w:numFmt w:val="bullet"/>
      <w:lvlText w:val="•"/>
      <w:lvlJc w:val="left"/>
      <w:pPr>
        <w:ind w:left="3871" w:hanging="358"/>
      </w:pPr>
      <w:rPr>
        <w:rFonts w:hint="default"/>
        <w:lang w:val="en-GB" w:eastAsia="en-GB" w:bidi="en-GB"/>
      </w:rPr>
    </w:lvl>
    <w:lvl w:ilvl="5">
      <w:numFmt w:val="bullet"/>
      <w:lvlText w:val="•"/>
      <w:lvlJc w:val="left"/>
      <w:pPr>
        <w:ind w:left="4867" w:hanging="358"/>
      </w:pPr>
      <w:rPr>
        <w:rFonts w:hint="default"/>
        <w:lang w:val="en-GB" w:eastAsia="en-GB" w:bidi="en-GB"/>
      </w:rPr>
    </w:lvl>
    <w:lvl w:ilvl="6">
      <w:numFmt w:val="bullet"/>
      <w:lvlText w:val="•"/>
      <w:lvlJc w:val="left"/>
      <w:pPr>
        <w:ind w:left="5863" w:hanging="358"/>
      </w:pPr>
      <w:rPr>
        <w:rFonts w:hint="default"/>
        <w:lang w:val="en-GB" w:eastAsia="en-GB" w:bidi="en-GB"/>
      </w:rPr>
    </w:lvl>
    <w:lvl w:ilvl="7">
      <w:numFmt w:val="bullet"/>
      <w:lvlText w:val="•"/>
      <w:lvlJc w:val="left"/>
      <w:pPr>
        <w:ind w:left="6859" w:hanging="358"/>
      </w:pPr>
      <w:rPr>
        <w:rFonts w:hint="default"/>
        <w:lang w:val="en-GB" w:eastAsia="en-GB" w:bidi="en-GB"/>
      </w:rPr>
    </w:lvl>
    <w:lvl w:ilvl="8">
      <w:numFmt w:val="bullet"/>
      <w:lvlText w:val="•"/>
      <w:lvlJc w:val="left"/>
      <w:pPr>
        <w:ind w:left="7854" w:hanging="358"/>
      </w:pPr>
      <w:rPr>
        <w:rFonts w:hint="default"/>
        <w:lang w:val="en-GB" w:eastAsia="en-GB" w:bidi="en-GB"/>
      </w:rPr>
    </w:lvl>
  </w:abstractNum>
  <w:abstractNum w:abstractNumId="11" w15:restartNumberingAfterBreak="0">
    <w:nsid w:val="753123AE"/>
    <w:multiLevelType w:val="hybridMultilevel"/>
    <w:tmpl w:val="E51ABA22"/>
    <w:lvl w:ilvl="0" w:tplc="45121B4C">
      <w:start w:val="1"/>
      <w:numFmt w:val="decimal"/>
      <w:lvlText w:val="%1."/>
      <w:lvlJc w:val="left"/>
      <w:pPr>
        <w:ind w:left="1320" w:hanging="360"/>
        <w:jc w:val="left"/>
      </w:pPr>
      <w:rPr>
        <w:rFonts w:ascii="Arial" w:eastAsia="Arial" w:hAnsi="Arial" w:cs="Arial" w:hint="default"/>
        <w:color w:val="242424"/>
        <w:spacing w:val="-3"/>
        <w:w w:val="99"/>
        <w:sz w:val="24"/>
        <w:szCs w:val="24"/>
        <w:lang w:val="en-GB" w:eastAsia="en-GB" w:bidi="en-GB"/>
      </w:rPr>
    </w:lvl>
    <w:lvl w:ilvl="1" w:tplc="7CD0A332">
      <w:numFmt w:val="bullet"/>
      <w:lvlText w:val="•"/>
      <w:lvlJc w:val="left"/>
      <w:pPr>
        <w:ind w:left="2172" w:hanging="360"/>
      </w:pPr>
      <w:rPr>
        <w:rFonts w:hint="default"/>
        <w:lang w:val="en-GB" w:eastAsia="en-GB" w:bidi="en-GB"/>
      </w:rPr>
    </w:lvl>
    <w:lvl w:ilvl="2" w:tplc="1EDE9EAA">
      <w:numFmt w:val="bullet"/>
      <w:lvlText w:val="•"/>
      <w:lvlJc w:val="left"/>
      <w:pPr>
        <w:ind w:left="3025" w:hanging="360"/>
      </w:pPr>
      <w:rPr>
        <w:rFonts w:hint="default"/>
        <w:lang w:val="en-GB" w:eastAsia="en-GB" w:bidi="en-GB"/>
      </w:rPr>
    </w:lvl>
    <w:lvl w:ilvl="3" w:tplc="642EB8B0">
      <w:numFmt w:val="bullet"/>
      <w:lvlText w:val="•"/>
      <w:lvlJc w:val="left"/>
      <w:pPr>
        <w:ind w:left="3877" w:hanging="360"/>
      </w:pPr>
      <w:rPr>
        <w:rFonts w:hint="default"/>
        <w:lang w:val="en-GB" w:eastAsia="en-GB" w:bidi="en-GB"/>
      </w:rPr>
    </w:lvl>
    <w:lvl w:ilvl="4" w:tplc="E89E88FC">
      <w:numFmt w:val="bullet"/>
      <w:lvlText w:val="•"/>
      <w:lvlJc w:val="left"/>
      <w:pPr>
        <w:ind w:left="4730" w:hanging="360"/>
      </w:pPr>
      <w:rPr>
        <w:rFonts w:hint="default"/>
        <w:lang w:val="en-GB" w:eastAsia="en-GB" w:bidi="en-GB"/>
      </w:rPr>
    </w:lvl>
    <w:lvl w:ilvl="5" w:tplc="B95A5B4A">
      <w:numFmt w:val="bullet"/>
      <w:lvlText w:val="•"/>
      <w:lvlJc w:val="left"/>
      <w:pPr>
        <w:ind w:left="5583" w:hanging="360"/>
      </w:pPr>
      <w:rPr>
        <w:rFonts w:hint="default"/>
        <w:lang w:val="en-GB" w:eastAsia="en-GB" w:bidi="en-GB"/>
      </w:rPr>
    </w:lvl>
    <w:lvl w:ilvl="6" w:tplc="A808C854">
      <w:numFmt w:val="bullet"/>
      <w:lvlText w:val="•"/>
      <w:lvlJc w:val="left"/>
      <w:pPr>
        <w:ind w:left="6435" w:hanging="360"/>
      </w:pPr>
      <w:rPr>
        <w:rFonts w:hint="default"/>
        <w:lang w:val="en-GB" w:eastAsia="en-GB" w:bidi="en-GB"/>
      </w:rPr>
    </w:lvl>
    <w:lvl w:ilvl="7" w:tplc="EC4A969A">
      <w:numFmt w:val="bullet"/>
      <w:lvlText w:val="•"/>
      <w:lvlJc w:val="left"/>
      <w:pPr>
        <w:ind w:left="7288" w:hanging="360"/>
      </w:pPr>
      <w:rPr>
        <w:rFonts w:hint="default"/>
        <w:lang w:val="en-GB" w:eastAsia="en-GB" w:bidi="en-GB"/>
      </w:rPr>
    </w:lvl>
    <w:lvl w:ilvl="8" w:tplc="1ECCE198">
      <w:numFmt w:val="bullet"/>
      <w:lvlText w:val="•"/>
      <w:lvlJc w:val="left"/>
      <w:pPr>
        <w:ind w:left="8141" w:hanging="360"/>
      </w:pPr>
      <w:rPr>
        <w:rFonts w:hint="default"/>
        <w:lang w:val="en-GB" w:eastAsia="en-GB" w:bidi="en-GB"/>
      </w:rPr>
    </w:lvl>
  </w:abstractNum>
  <w:abstractNum w:abstractNumId="12" w15:restartNumberingAfterBreak="0">
    <w:nsid w:val="775D707B"/>
    <w:multiLevelType w:val="multilevel"/>
    <w:tmpl w:val="F2FC47AA"/>
    <w:lvl w:ilvl="0">
      <w:start w:val="8"/>
      <w:numFmt w:val="decimal"/>
      <w:lvlText w:val="%1"/>
      <w:lvlJc w:val="left"/>
      <w:pPr>
        <w:ind w:left="1308" w:hanging="708"/>
        <w:jc w:val="left"/>
      </w:pPr>
      <w:rPr>
        <w:rFonts w:hint="default"/>
        <w:lang w:val="en-GB" w:eastAsia="en-GB" w:bidi="en-GB"/>
      </w:rPr>
    </w:lvl>
    <w:lvl w:ilvl="1">
      <w:start w:val="8"/>
      <w:numFmt w:val="decimal"/>
      <w:lvlText w:val="%1.%2"/>
      <w:lvlJc w:val="left"/>
      <w:pPr>
        <w:ind w:left="1308" w:hanging="708"/>
        <w:jc w:val="left"/>
      </w:pPr>
      <w:rPr>
        <w:rFonts w:ascii="Arial" w:eastAsia="Arial" w:hAnsi="Arial" w:cs="Arial" w:hint="default"/>
        <w:spacing w:val="-27"/>
        <w:w w:val="99"/>
        <w:sz w:val="24"/>
        <w:szCs w:val="24"/>
        <w:lang w:val="en-GB" w:eastAsia="en-GB" w:bidi="en-GB"/>
      </w:rPr>
    </w:lvl>
    <w:lvl w:ilvl="2">
      <w:numFmt w:val="bullet"/>
      <w:lvlText w:val=""/>
      <w:lvlJc w:val="left"/>
      <w:pPr>
        <w:ind w:left="2093" w:hanging="567"/>
      </w:pPr>
      <w:rPr>
        <w:rFonts w:ascii="Symbol" w:eastAsia="Symbol" w:hAnsi="Symbol" w:cs="Symbol" w:hint="default"/>
        <w:w w:val="100"/>
        <w:sz w:val="24"/>
        <w:szCs w:val="24"/>
        <w:lang w:val="en-GB" w:eastAsia="en-GB" w:bidi="en-GB"/>
      </w:rPr>
    </w:lvl>
    <w:lvl w:ilvl="3">
      <w:numFmt w:val="bullet"/>
      <w:lvlText w:val="•"/>
      <w:lvlJc w:val="left"/>
      <w:pPr>
        <w:ind w:left="3068" w:hanging="567"/>
      </w:pPr>
      <w:rPr>
        <w:rFonts w:hint="default"/>
        <w:lang w:val="en-GB" w:eastAsia="en-GB" w:bidi="en-GB"/>
      </w:rPr>
    </w:lvl>
    <w:lvl w:ilvl="4">
      <w:numFmt w:val="bullet"/>
      <w:lvlText w:val="•"/>
      <w:lvlJc w:val="left"/>
      <w:pPr>
        <w:ind w:left="4036" w:hanging="567"/>
      </w:pPr>
      <w:rPr>
        <w:rFonts w:hint="default"/>
        <w:lang w:val="en-GB" w:eastAsia="en-GB" w:bidi="en-GB"/>
      </w:rPr>
    </w:lvl>
    <w:lvl w:ilvl="5">
      <w:numFmt w:val="bullet"/>
      <w:lvlText w:val="•"/>
      <w:lvlJc w:val="left"/>
      <w:pPr>
        <w:ind w:left="5004" w:hanging="567"/>
      </w:pPr>
      <w:rPr>
        <w:rFonts w:hint="default"/>
        <w:lang w:val="en-GB" w:eastAsia="en-GB" w:bidi="en-GB"/>
      </w:rPr>
    </w:lvl>
    <w:lvl w:ilvl="6">
      <w:numFmt w:val="bullet"/>
      <w:lvlText w:val="•"/>
      <w:lvlJc w:val="left"/>
      <w:pPr>
        <w:ind w:left="5973" w:hanging="567"/>
      </w:pPr>
      <w:rPr>
        <w:rFonts w:hint="default"/>
        <w:lang w:val="en-GB" w:eastAsia="en-GB" w:bidi="en-GB"/>
      </w:rPr>
    </w:lvl>
    <w:lvl w:ilvl="7">
      <w:numFmt w:val="bullet"/>
      <w:lvlText w:val="•"/>
      <w:lvlJc w:val="left"/>
      <w:pPr>
        <w:ind w:left="6941" w:hanging="567"/>
      </w:pPr>
      <w:rPr>
        <w:rFonts w:hint="default"/>
        <w:lang w:val="en-GB" w:eastAsia="en-GB" w:bidi="en-GB"/>
      </w:rPr>
    </w:lvl>
    <w:lvl w:ilvl="8">
      <w:numFmt w:val="bullet"/>
      <w:lvlText w:val="•"/>
      <w:lvlJc w:val="left"/>
      <w:pPr>
        <w:ind w:left="7909" w:hanging="567"/>
      </w:pPr>
      <w:rPr>
        <w:rFonts w:hint="default"/>
        <w:lang w:val="en-GB" w:eastAsia="en-GB" w:bidi="en-GB"/>
      </w:rPr>
    </w:lvl>
  </w:abstractNum>
  <w:abstractNum w:abstractNumId="13" w15:restartNumberingAfterBreak="0">
    <w:nsid w:val="7BFF37C0"/>
    <w:multiLevelType w:val="hybridMultilevel"/>
    <w:tmpl w:val="FF6EEDEA"/>
    <w:lvl w:ilvl="0" w:tplc="EFD2ED56">
      <w:numFmt w:val="bullet"/>
      <w:lvlText w:val=""/>
      <w:lvlJc w:val="left"/>
      <w:pPr>
        <w:ind w:left="1320" w:hanging="360"/>
      </w:pPr>
      <w:rPr>
        <w:rFonts w:ascii="Symbol" w:eastAsia="Symbol" w:hAnsi="Symbol" w:cs="Symbol" w:hint="default"/>
        <w:w w:val="100"/>
        <w:sz w:val="24"/>
        <w:szCs w:val="24"/>
        <w:lang w:val="en-GB" w:eastAsia="en-GB" w:bidi="en-GB"/>
      </w:rPr>
    </w:lvl>
    <w:lvl w:ilvl="1" w:tplc="A57C2B0E">
      <w:numFmt w:val="bullet"/>
      <w:lvlText w:val="•"/>
      <w:lvlJc w:val="left"/>
      <w:pPr>
        <w:ind w:left="2172" w:hanging="360"/>
      </w:pPr>
      <w:rPr>
        <w:rFonts w:hint="default"/>
        <w:lang w:val="en-GB" w:eastAsia="en-GB" w:bidi="en-GB"/>
      </w:rPr>
    </w:lvl>
    <w:lvl w:ilvl="2" w:tplc="0CD2194A">
      <w:numFmt w:val="bullet"/>
      <w:lvlText w:val="•"/>
      <w:lvlJc w:val="left"/>
      <w:pPr>
        <w:ind w:left="3025" w:hanging="360"/>
      </w:pPr>
      <w:rPr>
        <w:rFonts w:hint="default"/>
        <w:lang w:val="en-GB" w:eastAsia="en-GB" w:bidi="en-GB"/>
      </w:rPr>
    </w:lvl>
    <w:lvl w:ilvl="3" w:tplc="9D705884">
      <w:numFmt w:val="bullet"/>
      <w:lvlText w:val="•"/>
      <w:lvlJc w:val="left"/>
      <w:pPr>
        <w:ind w:left="3877" w:hanging="360"/>
      </w:pPr>
      <w:rPr>
        <w:rFonts w:hint="default"/>
        <w:lang w:val="en-GB" w:eastAsia="en-GB" w:bidi="en-GB"/>
      </w:rPr>
    </w:lvl>
    <w:lvl w:ilvl="4" w:tplc="37120572">
      <w:numFmt w:val="bullet"/>
      <w:lvlText w:val="•"/>
      <w:lvlJc w:val="left"/>
      <w:pPr>
        <w:ind w:left="4730" w:hanging="360"/>
      </w:pPr>
      <w:rPr>
        <w:rFonts w:hint="default"/>
        <w:lang w:val="en-GB" w:eastAsia="en-GB" w:bidi="en-GB"/>
      </w:rPr>
    </w:lvl>
    <w:lvl w:ilvl="5" w:tplc="559EF9EE">
      <w:numFmt w:val="bullet"/>
      <w:lvlText w:val="•"/>
      <w:lvlJc w:val="left"/>
      <w:pPr>
        <w:ind w:left="5583" w:hanging="360"/>
      </w:pPr>
      <w:rPr>
        <w:rFonts w:hint="default"/>
        <w:lang w:val="en-GB" w:eastAsia="en-GB" w:bidi="en-GB"/>
      </w:rPr>
    </w:lvl>
    <w:lvl w:ilvl="6" w:tplc="C7908CCC">
      <w:numFmt w:val="bullet"/>
      <w:lvlText w:val="•"/>
      <w:lvlJc w:val="left"/>
      <w:pPr>
        <w:ind w:left="6435" w:hanging="360"/>
      </w:pPr>
      <w:rPr>
        <w:rFonts w:hint="default"/>
        <w:lang w:val="en-GB" w:eastAsia="en-GB" w:bidi="en-GB"/>
      </w:rPr>
    </w:lvl>
    <w:lvl w:ilvl="7" w:tplc="ED626114">
      <w:numFmt w:val="bullet"/>
      <w:lvlText w:val="•"/>
      <w:lvlJc w:val="left"/>
      <w:pPr>
        <w:ind w:left="7288" w:hanging="360"/>
      </w:pPr>
      <w:rPr>
        <w:rFonts w:hint="default"/>
        <w:lang w:val="en-GB" w:eastAsia="en-GB" w:bidi="en-GB"/>
      </w:rPr>
    </w:lvl>
    <w:lvl w:ilvl="8" w:tplc="A09AAA7C">
      <w:numFmt w:val="bullet"/>
      <w:lvlText w:val="•"/>
      <w:lvlJc w:val="left"/>
      <w:pPr>
        <w:ind w:left="8141" w:hanging="360"/>
      </w:pPr>
      <w:rPr>
        <w:rFonts w:hint="default"/>
        <w:lang w:val="en-GB" w:eastAsia="en-GB" w:bidi="en-GB"/>
      </w:rPr>
    </w:lvl>
  </w:abstractNum>
  <w:num w:numId="1">
    <w:abstractNumId w:val="5"/>
  </w:num>
  <w:num w:numId="2">
    <w:abstractNumId w:val="4"/>
  </w:num>
  <w:num w:numId="3">
    <w:abstractNumId w:val="11"/>
  </w:num>
  <w:num w:numId="4">
    <w:abstractNumId w:val="0"/>
  </w:num>
  <w:num w:numId="5">
    <w:abstractNumId w:val="2"/>
  </w:num>
  <w:num w:numId="6">
    <w:abstractNumId w:val="12"/>
  </w:num>
  <w:num w:numId="7">
    <w:abstractNumId w:val="9"/>
  </w:num>
  <w:num w:numId="8">
    <w:abstractNumId w:val="8"/>
  </w:num>
  <w:num w:numId="9">
    <w:abstractNumId w:val="7"/>
  </w:num>
  <w:num w:numId="10">
    <w:abstractNumId w:val="10"/>
  </w:num>
  <w:num w:numId="11">
    <w:abstractNumId w:val="6"/>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CC"/>
    <w:rsid w:val="00103017"/>
    <w:rsid w:val="00344106"/>
    <w:rsid w:val="00344193"/>
    <w:rsid w:val="00411B5C"/>
    <w:rsid w:val="005623C6"/>
    <w:rsid w:val="007B48CC"/>
    <w:rsid w:val="008B32A8"/>
    <w:rsid w:val="00B17D98"/>
    <w:rsid w:val="00E9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7E511"/>
  <w15:docId w15:val="{3FB1877B-868E-4C31-B57F-1F9A02FD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7"/>
      <w:ind w:left="600"/>
      <w:outlineLvl w:val="0"/>
    </w:pPr>
    <w:rPr>
      <w:b/>
      <w:bCs/>
      <w:sz w:val="32"/>
      <w:szCs w:val="32"/>
    </w:rPr>
  </w:style>
  <w:style w:type="paragraph" w:styleId="Heading2">
    <w:name w:val="heading 2"/>
    <w:basedOn w:val="Normal"/>
    <w:uiPriority w:val="9"/>
    <w:unhideWhenUsed/>
    <w:qFormat/>
    <w:pPr>
      <w:ind w:left="6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0" w:hanging="361"/>
    </w:pPr>
  </w:style>
  <w:style w:type="paragraph" w:customStyle="1" w:styleId="TableParagraph">
    <w:name w:val="Table Paragraph"/>
    <w:basedOn w:val="Normal"/>
    <w:uiPriority w:val="1"/>
    <w:qFormat/>
    <w:pPr>
      <w:spacing w:line="274" w:lineRule="exact"/>
      <w:ind w:left="107"/>
    </w:pPr>
  </w:style>
  <w:style w:type="paragraph" w:styleId="Header">
    <w:name w:val="header"/>
    <w:basedOn w:val="Normal"/>
    <w:link w:val="HeaderChar"/>
    <w:uiPriority w:val="99"/>
    <w:semiHidden/>
    <w:unhideWhenUsed/>
    <w:rsid w:val="00411B5C"/>
    <w:pPr>
      <w:tabs>
        <w:tab w:val="center" w:pos="4513"/>
        <w:tab w:val="right" w:pos="9026"/>
      </w:tabs>
    </w:pPr>
  </w:style>
  <w:style w:type="character" w:customStyle="1" w:styleId="HeaderChar">
    <w:name w:val="Header Char"/>
    <w:basedOn w:val="DefaultParagraphFont"/>
    <w:link w:val="Header"/>
    <w:uiPriority w:val="99"/>
    <w:semiHidden/>
    <w:rsid w:val="00411B5C"/>
    <w:rPr>
      <w:rFonts w:ascii="Arial" w:eastAsia="Arial" w:hAnsi="Arial" w:cs="Arial"/>
      <w:lang w:val="en-GB" w:eastAsia="en-GB" w:bidi="en-GB"/>
    </w:rPr>
  </w:style>
  <w:style w:type="paragraph" w:styleId="Footer">
    <w:name w:val="footer"/>
    <w:basedOn w:val="Normal"/>
    <w:link w:val="FooterChar"/>
    <w:uiPriority w:val="99"/>
    <w:semiHidden/>
    <w:unhideWhenUsed/>
    <w:rsid w:val="00411B5C"/>
    <w:pPr>
      <w:tabs>
        <w:tab w:val="center" w:pos="4513"/>
        <w:tab w:val="right" w:pos="9026"/>
      </w:tabs>
    </w:pPr>
  </w:style>
  <w:style w:type="character" w:customStyle="1" w:styleId="FooterChar">
    <w:name w:val="Footer Char"/>
    <w:basedOn w:val="DefaultParagraphFont"/>
    <w:link w:val="Footer"/>
    <w:uiPriority w:val="99"/>
    <w:semiHidden/>
    <w:rsid w:val="00411B5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using-ombudsman.org.uk/" TargetMode="External"/><Relationship Id="rId18" Type="http://schemas.openxmlformats.org/officeDocument/2006/relationships/hyperlink" Target="http://www.gov.uk/government/publications/corporate-governance-code-for-centr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publications/partnerships-with-arms-length-bod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nao.org.uk/wp-" TargetMode="External"/><Relationship Id="rId25" Type="http://schemas.openxmlformats.org/officeDocument/2006/relationships/hyperlink" Target="http://www.gov.uk/government/uploads/system/uploads/attachment_data/file/80082/" TargetMode="External"/><Relationship Id="rId2" Type="http://schemas.openxmlformats.org/officeDocument/2006/relationships/customXml" Target="../customXml/item2.xml"/><Relationship Id="rId16" Type="http://schemas.openxmlformats.org/officeDocument/2006/relationships/hyperlink" Target="http://www.hm-treasury.gov.uk/orange_book.htm" TargetMode="External"/><Relationship Id="rId20" Type="http://schemas.openxmlformats.org/officeDocument/2006/relationships/hyperlink" Target="https://www.gov.uk/government/publications/board-members-of-public-bodies-code-of-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gov.uk/government/publications/government-financial-reporting-manual-" TargetMode="External"/><Relationship Id="rId5" Type="http://schemas.openxmlformats.org/officeDocument/2006/relationships/styles" Target="styles.xml"/><Relationship Id="rId15" Type="http://schemas.openxmlformats.org/officeDocument/2006/relationships/hyperlink" Target="http://www.housing-ombudsman.org.uk/" TargetMode="External"/><Relationship Id="rId23" Type="http://schemas.openxmlformats.org/officeDocument/2006/relationships/hyperlink" Target="http://www.gov.uk/government/publications/orange-book" TargetMode="External"/><Relationship Id="rId10" Type="http://schemas.openxmlformats.org/officeDocument/2006/relationships/image" Target="media/image1.jpeg"/><Relationship Id="rId19" Type="http://schemas.openxmlformats.org/officeDocument/2006/relationships/hyperlink" Target="https://www.gov.uk/government/publications/board-members-of-public-bodies-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ousing-ombudsman.org.uk/" TargetMode="External"/><Relationship Id="rId22" Type="http://schemas.openxmlformats.org/officeDocument/2006/relationships/hyperlink" Target="http://www.gov.uk/government/publications/public-sector-internal-audit-stand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743f5b-f2b1-4d41-a632-599fdfe3ca8b">
      <UserInfo>
        <DisplayName>Andrea Keenoy</DisplayName>
        <AccountId>77</AccountId>
        <AccountType/>
      </UserInfo>
      <UserInfo>
        <DisplayName>Gillian Day</DisplayName>
        <AccountId>519</AccountId>
        <AccountType/>
      </UserInfo>
      <UserInfo>
        <DisplayName>Roz D'Cruz</DisplayName>
        <AccountId>28</AccountId>
        <AccountType/>
      </UserInfo>
    </SharedWithUsers>
    <TaxCatchAll xmlns="4d743f5b-f2b1-4d41-a632-599fdfe3ca8b" xsi:nil="true"/>
    <lcf76f155ced4ddcb4097134ff3c332f xmlns="b5cf531c-ceee-4b43-810a-d00bad4e3a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8850673CD1E449C5A7F5895907B33" ma:contentTypeVersion="16" ma:contentTypeDescription="Create a new document." ma:contentTypeScope="" ma:versionID="0ecde3cfc60dc333242d3d853d301547">
  <xsd:schema xmlns:xsd="http://www.w3.org/2001/XMLSchema" xmlns:xs="http://www.w3.org/2001/XMLSchema" xmlns:p="http://schemas.microsoft.com/office/2006/metadata/properties" xmlns:ns2="b5cf531c-ceee-4b43-810a-d00bad4e3ad2" xmlns:ns3="4d743f5b-f2b1-4d41-a632-599fdfe3ca8b" targetNamespace="http://schemas.microsoft.com/office/2006/metadata/properties" ma:root="true" ma:fieldsID="195b91f7ba9c6bc0b0eee2fbdcc866cf" ns2:_="" ns3:_="">
    <xsd:import namespace="b5cf531c-ceee-4b43-810a-d00bad4e3ad2"/>
    <xsd:import namespace="4d743f5b-f2b1-4d41-a632-599fdfe3ca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f531c-ceee-4b43-810a-d00bad4e3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8EC38-19FC-4228-8C1A-8814A6BFB801}">
  <ds:schemaRefs>
    <ds:schemaRef ds:uri="http://schemas.microsoft.com/sharepoint/v3/contenttype/forms"/>
  </ds:schemaRefs>
</ds:datastoreItem>
</file>

<file path=customXml/itemProps2.xml><?xml version="1.0" encoding="utf-8"?>
<ds:datastoreItem xmlns:ds="http://schemas.openxmlformats.org/officeDocument/2006/customXml" ds:itemID="{D31823AD-1B9B-4CDC-85B9-127B6F571DE3}">
  <ds:schemaRefs>
    <ds:schemaRef ds:uri="http://schemas.microsoft.com/office/2006/metadata/properties"/>
    <ds:schemaRef ds:uri="http://schemas.microsoft.com/office/infopath/2007/PartnerControls"/>
    <ds:schemaRef ds:uri="4d743f5b-f2b1-4d41-a632-599fdfe3ca8b"/>
  </ds:schemaRefs>
</ds:datastoreItem>
</file>

<file path=customXml/itemProps3.xml><?xml version="1.0" encoding="utf-8"?>
<ds:datastoreItem xmlns:ds="http://schemas.openxmlformats.org/officeDocument/2006/customXml" ds:itemID="{2CB1C4C2-AC75-4335-8A0A-8105F45A0BC5}"/>
</file>

<file path=docProps/app.xml><?xml version="1.0" encoding="utf-8"?>
<Properties xmlns="http://schemas.openxmlformats.org/officeDocument/2006/extended-properties" xmlns:vt="http://schemas.openxmlformats.org/officeDocument/2006/docPropsVTypes">
  <Template>Normal</Template>
  <TotalTime>0</TotalTime>
  <Pages>32</Pages>
  <Words>7214</Words>
  <Characters>41124</Characters>
  <Application>Microsoft Office Word</Application>
  <DocSecurity>0</DocSecurity>
  <Lines>342</Lines>
  <Paragraphs>96</Paragraphs>
  <ScaleCrop>false</ScaleCrop>
  <Company/>
  <LinksUpToDate>false</LinksUpToDate>
  <CharactersWithSpaces>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Housing Ombudsman Framework Document</dc:title>
  <dc:creator>Sarah Williamson</dc:creator>
  <cp:lastModifiedBy>Andrea Keenoy</cp:lastModifiedBy>
  <cp:revision>5</cp:revision>
  <dcterms:created xsi:type="dcterms:W3CDTF">2021-06-18T07:32:00Z</dcterms:created>
  <dcterms:modified xsi:type="dcterms:W3CDTF">2021-06-21T07:33:00Z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Microsoft® Word 2010</vt:lpwstr>
  </property>
  <property fmtid="{D5CDD505-2E9C-101B-9397-08002B2CF9AE}" pid="4" name="LastSaved">
    <vt:filetime>2021-02-12T00:00:00Z</vt:filetime>
  </property>
  <property fmtid="{D5CDD505-2E9C-101B-9397-08002B2CF9AE}" pid="5" name="ContentTypeId">
    <vt:lpwstr>0x01010038D8850673CD1E449C5A7F5895907B33</vt:lpwstr>
  </property>
  <property fmtid="{D5CDD505-2E9C-101B-9397-08002B2CF9AE}" pid="6" name="MediaServiceImageTags">
    <vt:lpwstr/>
  </property>
</Properties>
</file>