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525D" w14:textId="2DE785C6" w:rsidR="0015049D" w:rsidRDefault="1AF31D4D" w:rsidP="212CE821">
      <w:pPr>
        <w:jc w:val="right"/>
        <w:rPr>
          <w:color w:val="00B0F0"/>
        </w:rPr>
      </w:pPr>
      <w:r>
        <w:rPr>
          <w:noProof/>
        </w:rPr>
        <w:drawing>
          <wp:inline distT="0" distB="0" distL="0" distR="0" wp14:anchorId="7B5A7BCD" wp14:editId="212CE821">
            <wp:extent cx="3333750" cy="1200150"/>
            <wp:effectExtent l="0" t="0" r="0" b="0"/>
            <wp:docPr id="1365501894" name="Picture 1365501894" descr="Housing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333750" cy="1200150"/>
                    </a:xfrm>
                    <a:prstGeom prst="rect">
                      <a:avLst/>
                    </a:prstGeom>
                  </pic:spPr>
                </pic:pic>
              </a:graphicData>
            </a:graphic>
          </wp:inline>
        </w:drawing>
      </w:r>
    </w:p>
    <w:p w14:paraId="2B20A84E" w14:textId="702C8F21" w:rsidR="0015049D" w:rsidRDefault="00BA3E37" w:rsidP="212CE821">
      <w:pPr>
        <w:jc w:val="center"/>
        <w:rPr>
          <w:rFonts w:ascii="Arial" w:eastAsia="Arial" w:hAnsi="Arial" w:cs="Arial"/>
          <w:color w:val="00B0F0"/>
          <w:sz w:val="64"/>
          <w:szCs w:val="64"/>
        </w:rPr>
      </w:pPr>
      <w:r>
        <w:br/>
      </w:r>
      <w:r w:rsidR="1AF31D4D" w:rsidRPr="212CE821">
        <w:rPr>
          <w:rFonts w:ascii="Arial" w:eastAsia="Arial" w:hAnsi="Arial" w:cs="Arial"/>
          <w:b/>
          <w:bCs/>
          <w:color w:val="00B0F0"/>
          <w:sz w:val="64"/>
          <w:szCs w:val="64"/>
          <w:lang w:val="en-GB"/>
        </w:rPr>
        <w:t>Spotlight on: Noise Complaints</w:t>
      </w:r>
    </w:p>
    <w:p w14:paraId="32B58094" w14:textId="0F5B3E33" w:rsidR="0015049D" w:rsidRDefault="1AF31D4D" w:rsidP="212CE821">
      <w:pPr>
        <w:jc w:val="center"/>
        <w:rPr>
          <w:rFonts w:ascii="Arial" w:eastAsia="Arial" w:hAnsi="Arial" w:cs="Arial"/>
          <w:color w:val="00B0F0"/>
          <w:sz w:val="64"/>
          <w:szCs w:val="64"/>
        </w:rPr>
      </w:pPr>
      <w:r w:rsidRPr="212CE821">
        <w:rPr>
          <w:rFonts w:ascii="Arial" w:eastAsia="Arial" w:hAnsi="Arial" w:cs="Arial"/>
          <w:b/>
          <w:bCs/>
          <w:color w:val="00B0F0"/>
          <w:sz w:val="64"/>
          <w:szCs w:val="64"/>
          <w:lang w:val="en-GB"/>
        </w:rPr>
        <w:t>Time to be heard</w:t>
      </w:r>
    </w:p>
    <w:p w14:paraId="2C078E63" w14:textId="50ABC7F8" w:rsidR="0015049D" w:rsidRDefault="0015049D" w:rsidP="212CE821">
      <w:pPr>
        <w:jc w:val="center"/>
      </w:pPr>
    </w:p>
    <w:p w14:paraId="69DF98C0" w14:textId="1A3376A8" w:rsidR="1AF31D4D" w:rsidRDefault="1AF31D4D" w:rsidP="212CE821">
      <w:r w:rsidRPr="212CE821">
        <w:rPr>
          <w:rFonts w:ascii="Arial" w:eastAsia="Arial" w:hAnsi="Arial" w:cs="Arial"/>
          <w:sz w:val="28"/>
          <w:szCs w:val="28"/>
        </w:rPr>
        <w:t xml:space="preserve">This document can be used to capture your </w:t>
      </w:r>
      <w:r w:rsidR="26BF162F" w:rsidRPr="212CE821">
        <w:rPr>
          <w:rFonts w:ascii="Arial" w:eastAsia="Arial" w:hAnsi="Arial" w:cs="Arial"/>
          <w:sz w:val="28"/>
          <w:szCs w:val="28"/>
        </w:rPr>
        <w:t>‘</w:t>
      </w:r>
      <w:proofErr w:type="spellStart"/>
      <w:r w:rsidRPr="212CE821">
        <w:rPr>
          <w:rFonts w:ascii="Arial" w:eastAsia="Arial" w:hAnsi="Arial" w:cs="Arial"/>
          <w:sz w:val="28"/>
          <w:szCs w:val="28"/>
        </w:rPr>
        <w:t>self assessment</w:t>
      </w:r>
      <w:proofErr w:type="spellEnd"/>
      <w:r w:rsidR="7349DD07" w:rsidRPr="212CE821">
        <w:rPr>
          <w:rFonts w:ascii="Arial" w:eastAsia="Arial" w:hAnsi="Arial" w:cs="Arial"/>
          <w:sz w:val="28"/>
          <w:szCs w:val="28"/>
        </w:rPr>
        <w:t>’</w:t>
      </w:r>
      <w:r w:rsidRPr="212CE821">
        <w:rPr>
          <w:rFonts w:ascii="Arial" w:eastAsia="Arial" w:hAnsi="Arial" w:cs="Arial"/>
          <w:sz w:val="28"/>
          <w:szCs w:val="28"/>
        </w:rPr>
        <w:t xml:space="preserve"> against the Noise Complaints Spotlight Report’s recommendations.  Please share this with us as</w:t>
      </w:r>
      <w:r w:rsidR="140F8525" w:rsidRPr="212CE821">
        <w:rPr>
          <w:rFonts w:ascii="Arial" w:eastAsia="Arial" w:hAnsi="Arial" w:cs="Arial"/>
          <w:sz w:val="28"/>
          <w:szCs w:val="28"/>
        </w:rPr>
        <w:t xml:space="preserve"> part of the follow up work we will be doing with landlords to assess what change has been achieved through the recommendations made. </w:t>
      </w:r>
      <w:r w:rsidRPr="212CE821">
        <w:rPr>
          <w:rFonts w:ascii="Arial" w:eastAsia="Arial" w:hAnsi="Arial" w:cs="Arial"/>
          <w:sz w:val="28"/>
          <w:szCs w:val="28"/>
        </w:rPr>
        <w:t xml:space="preserve"> </w:t>
      </w:r>
      <w:r w:rsidRPr="212CE821">
        <w:t xml:space="preserve"> </w:t>
      </w:r>
    </w:p>
    <w:p w14:paraId="4E4CB894" w14:textId="709648F0" w:rsidR="212CE821" w:rsidRDefault="212CE821" w:rsidP="212CE821"/>
    <w:tbl>
      <w:tblPr>
        <w:tblStyle w:val="TableGrid"/>
        <w:tblW w:w="0" w:type="auto"/>
        <w:tblLayout w:type="fixed"/>
        <w:tblLook w:val="04A0" w:firstRow="1" w:lastRow="0" w:firstColumn="1" w:lastColumn="0" w:noHBand="0" w:noVBand="1"/>
      </w:tblPr>
      <w:tblGrid>
        <w:gridCol w:w="389"/>
        <w:gridCol w:w="6091"/>
        <w:gridCol w:w="8040"/>
      </w:tblGrid>
      <w:tr w:rsidR="212CE821" w14:paraId="39E07A05" w14:textId="77777777" w:rsidTr="212CE821">
        <w:tc>
          <w:tcPr>
            <w:tcW w:w="6480" w:type="dxa"/>
            <w:gridSpan w:val="2"/>
            <w:vAlign w:val="center"/>
          </w:tcPr>
          <w:p w14:paraId="1AD7B0E6" w14:textId="083C9C2D"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Decent Homes</w:t>
            </w:r>
          </w:p>
        </w:tc>
        <w:tc>
          <w:tcPr>
            <w:tcW w:w="8040" w:type="dxa"/>
            <w:vAlign w:val="center"/>
          </w:tcPr>
          <w:p w14:paraId="1FF9C2F7" w14:textId="6C1AF14F" w:rsidR="4A22D933" w:rsidRDefault="4A22D933" w:rsidP="212CE821">
            <w:pPr>
              <w:spacing w:line="259" w:lineRule="auto"/>
              <w:rPr>
                <w:rFonts w:ascii="Arial" w:eastAsia="Arial" w:hAnsi="Arial" w:cs="Arial"/>
                <w:b/>
                <w:bCs/>
                <w:color w:val="000000" w:themeColor="text1"/>
                <w:sz w:val="24"/>
                <w:szCs w:val="24"/>
                <w:lang w:val="en-GB"/>
              </w:rPr>
            </w:pPr>
            <w:proofErr w:type="spellStart"/>
            <w:r w:rsidRPr="212CE821">
              <w:rPr>
                <w:rFonts w:ascii="Arial" w:eastAsia="Arial" w:hAnsi="Arial" w:cs="Arial"/>
                <w:b/>
                <w:bCs/>
                <w:color w:val="000000" w:themeColor="text1"/>
                <w:sz w:val="24"/>
                <w:szCs w:val="24"/>
                <w:lang w:val="en-GB"/>
              </w:rPr>
              <w:t>Self Assessment</w:t>
            </w:r>
            <w:proofErr w:type="spellEnd"/>
            <w:r w:rsidRPr="212CE821">
              <w:rPr>
                <w:rFonts w:ascii="Arial" w:eastAsia="Arial" w:hAnsi="Arial" w:cs="Arial"/>
                <w:b/>
                <w:bCs/>
                <w:color w:val="000000" w:themeColor="text1"/>
                <w:sz w:val="24"/>
                <w:szCs w:val="24"/>
                <w:lang w:val="en-GB"/>
              </w:rPr>
              <w:t xml:space="preserve"> Outcome</w:t>
            </w:r>
          </w:p>
        </w:tc>
      </w:tr>
      <w:tr w:rsidR="212CE821" w14:paraId="5A0760A3" w14:textId="77777777" w:rsidTr="212CE821">
        <w:tc>
          <w:tcPr>
            <w:tcW w:w="389" w:type="dxa"/>
          </w:tcPr>
          <w:p w14:paraId="07B75B81" w14:textId="350C0DFD"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w:t>
            </w:r>
          </w:p>
          <w:p w14:paraId="59C3F060" w14:textId="565F6575" w:rsidR="212CE821" w:rsidRDefault="212CE821" w:rsidP="212CE821">
            <w:pPr>
              <w:spacing w:line="259" w:lineRule="auto"/>
              <w:rPr>
                <w:rFonts w:ascii="Arial" w:eastAsia="Arial" w:hAnsi="Arial" w:cs="Arial"/>
                <w:color w:val="000000" w:themeColor="text1"/>
                <w:sz w:val="24"/>
                <w:szCs w:val="24"/>
              </w:rPr>
            </w:pPr>
          </w:p>
          <w:p w14:paraId="6573141F" w14:textId="19ADE2FF" w:rsidR="212CE821" w:rsidRDefault="212CE821" w:rsidP="212CE821">
            <w:pPr>
              <w:spacing w:line="259" w:lineRule="auto"/>
              <w:rPr>
                <w:rFonts w:ascii="Arial" w:eastAsia="Arial" w:hAnsi="Arial" w:cs="Arial"/>
                <w:color w:val="000000" w:themeColor="text1"/>
                <w:sz w:val="24"/>
                <w:szCs w:val="24"/>
              </w:rPr>
            </w:pPr>
          </w:p>
          <w:p w14:paraId="4CFFE057" w14:textId="5760743E" w:rsidR="212CE821" w:rsidRDefault="212CE821" w:rsidP="212CE821">
            <w:pPr>
              <w:spacing w:line="259" w:lineRule="auto"/>
              <w:rPr>
                <w:rFonts w:ascii="Arial" w:eastAsia="Arial" w:hAnsi="Arial" w:cs="Arial"/>
                <w:color w:val="000000" w:themeColor="text1"/>
                <w:sz w:val="24"/>
                <w:szCs w:val="24"/>
              </w:rPr>
            </w:pPr>
          </w:p>
        </w:tc>
        <w:tc>
          <w:tcPr>
            <w:tcW w:w="6091" w:type="dxa"/>
          </w:tcPr>
          <w:p w14:paraId="393C26C5" w14:textId="244FFF0E"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The Decent Homes standard should be revised to fully reflect the causes that can result in residents experiencing noise nuisance. By focusing exclusively on external noise, and primarily noise from vehicles or factories, it does not reflect modern living for most residents. </w:t>
            </w:r>
          </w:p>
        </w:tc>
        <w:tc>
          <w:tcPr>
            <w:tcW w:w="8040" w:type="dxa"/>
          </w:tcPr>
          <w:p w14:paraId="5EDB3C70" w14:textId="1FCE64FB" w:rsidR="212CE821" w:rsidRDefault="212CE821" w:rsidP="212CE821">
            <w:pPr>
              <w:spacing w:line="259" w:lineRule="auto"/>
              <w:rPr>
                <w:rFonts w:ascii="Arial" w:eastAsia="Arial" w:hAnsi="Arial" w:cs="Arial"/>
                <w:color w:val="000000" w:themeColor="text1"/>
                <w:sz w:val="24"/>
                <w:szCs w:val="24"/>
                <w:lang w:val="en-GB"/>
              </w:rPr>
            </w:pPr>
          </w:p>
        </w:tc>
      </w:tr>
      <w:tr w:rsidR="212CE821" w14:paraId="7AB56132" w14:textId="77777777" w:rsidTr="212CE821">
        <w:tc>
          <w:tcPr>
            <w:tcW w:w="6480" w:type="dxa"/>
            <w:gridSpan w:val="2"/>
          </w:tcPr>
          <w:p w14:paraId="650B9ABF" w14:textId="585FBC77"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Net zero</w:t>
            </w:r>
          </w:p>
        </w:tc>
        <w:tc>
          <w:tcPr>
            <w:tcW w:w="8040" w:type="dxa"/>
          </w:tcPr>
          <w:p w14:paraId="1A9C2338" w14:textId="109C45C1"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7A9B29B4" w14:textId="77777777" w:rsidTr="212CE821">
        <w:tc>
          <w:tcPr>
            <w:tcW w:w="389" w:type="dxa"/>
          </w:tcPr>
          <w:p w14:paraId="215F82D7" w14:textId="362BA4C7"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w:t>
            </w:r>
          </w:p>
        </w:tc>
        <w:tc>
          <w:tcPr>
            <w:tcW w:w="6091" w:type="dxa"/>
          </w:tcPr>
          <w:p w14:paraId="7A63CA8D" w14:textId="755518EB"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consider their net zero plans for insulation to ensure that the thermal insulation activity planned will also provide noise insulation and will not make any existing noise transference issues worse.</w:t>
            </w:r>
          </w:p>
        </w:tc>
        <w:tc>
          <w:tcPr>
            <w:tcW w:w="8040" w:type="dxa"/>
          </w:tcPr>
          <w:p w14:paraId="769DEBB0" w14:textId="6814E813" w:rsidR="212CE821" w:rsidRDefault="212CE821" w:rsidP="212CE821">
            <w:pPr>
              <w:spacing w:line="259" w:lineRule="auto"/>
              <w:rPr>
                <w:rFonts w:ascii="Arial" w:eastAsia="Arial" w:hAnsi="Arial" w:cs="Arial"/>
                <w:color w:val="000000" w:themeColor="text1"/>
                <w:sz w:val="24"/>
                <w:szCs w:val="24"/>
                <w:lang w:val="en-GB"/>
              </w:rPr>
            </w:pPr>
          </w:p>
        </w:tc>
      </w:tr>
      <w:tr w:rsidR="212CE821" w14:paraId="3B10DC77" w14:textId="77777777" w:rsidTr="212CE821">
        <w:tc>
          <w:tcPr>
            <w:tcW w:w="6480" w:type="dxa"/>
            <w:gridSpan w:val="2"/>
          </w:tcPr>
          <w:p w14:paraId="36C083EF" w14:textId="6647B472"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Void standard</w:t>
            </w:r>
          </w:p>
        </w:tc>
        <w:tc>
          <w:tcPr>
            <w:tcW w:w="8040" w:type="dxa"/>
          </w:tcPr>
          <w:p w14:paraId="1E018404" w14:textId="4651F314"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6F22205D" w14:textId="77777777" w:rsidTr="212CE821">
        <w:tc>
          <w:tcPr>
            <w:tcW w:w="389" w:type="dxa"/>
          </w:tcPr>
          <w:p w14:paraId="047103D4" w14:textId="59BBFB75"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lastRenderedPageBreak/>
              <w:t>3</w:t>
            </w:r>
          </w:p>
        </w:tc>
        <w:tc>
          <w:tcPr>
            <w:tcW w:w="6091" w:type="dxa"/>
          </w:tcPr>
          <w:p w14:paraId="07F6BFB3" w14:textId="25776B8B"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update their void standard to ensure that:</w:t>
            </w:r>
          </w:p>
          <w:p w14:paraId="4FB452D4" w14:textId="42F3C5AF" w:rsidR="212CE821" w:rsidRDefault="212CE821" w:rsidP="212CE821">
            <w:pPr>
              <w:pStyle w:val="ListParagraph"/>
              <w:numPr>
                <w:ilvl w:val="0"/>
                <w:numId w:val="1"/>
              </w:num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carpets are not removed unless they are in a poor state of repair</w:t>
            </w:r>
          </w:p>
          <w:p w14:paraId="43C6869F" w14:textId="077C3677" w:rsidR="212CE821" w:rsidRDefault="212CE821" w:rsidP="212CE821">
            <w:pPr>
              <w:pStyle w:val="ListParagraph"/>
              <w:numPr>
                <w:ilvl w:val="0"/>
                <w:numId w:val="1"/>
              </w:num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hard flooring is removed when there have been reports of noise linked to the property</w:t>
            </w:r>
          </w:p>
          <w:p w14:paraId="5D054207" w14:textId="6B7FC3CE" w:rsidR="212CE821" w:rsidRDefault="212CE821" w:rsidP="212CE821">
            <w:pPr>
              <w:pStyle w:val="ListParagraph"/>
              <w:numPr>
                <w:ilvl w:val="0"/>
                <w:numId w:val="1"/>
              </w:num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properties have adequate insulation from transference noise and;</w:t>
            </w:r>
          </w:p>
          <w:p w14:paraId="7DFDD68B" w14:textId="7554D3C3" w:rsidR="212CE821" w:rsidRDefault="212CE821" w:rsidP="212CE821">
            <w:pPr>
              <w:pStyle w:val="ListParagraph"/>
              <w:numPr>
                <w:ilvl w:val="0"/>
                <w:numId w:val="1"/>
              </w:num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anti-vibration mats are fitted into the washing machine space as standard.</w:t>
            </w:r>
          </w:p>
          <w:p w14:paraId="5288C852" w14:textId="38F45CAA" w:rsidR="212CE821" w:rsidRDefault="212CE821" w:rsidP="212CE821">
            <w:pPr>
              <w:spacing w:line="259" w:lineRule="auto"/>
              <w:rPr>
                <w:rFonts w:ascii="Arial" w:eastAsia="Arial" w:hAnsi="Arial" w:cs="Arial"/>
                <w:color w:val="000000" w:themeColor="text1"/>
                <w:sz w:val="24"/>
                <w:szCs w:val="24"/>
              </w:rPr>
            </w:pPr>
          </w:p>
          <w:p w14:paraId="7581E5C2" w14:textId="078A56C7"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If landlords assess the condition of the carpets as good, they should ask the prospective tenant if they wish to keep them and if so, to sign a liability waiver. </w:t>
            </w:r>
          </w:p>
        </w:tc>
        <w:tc>
          <w:tcPr>
            <w:tcW w:w="8040" w:type="dxa"/>
          </w:tcPr>
          <w:p w14:paraId="5C18258C" w14:textId="4A0F9572" w:rsidR="212CE821" w:rsidRDefault="212CE821" w:rsidP="212CE821">
            <w:pPr>
              <w:spacing w:line="259" w:lineRule="auto"/>
              <w:rPr>
                <w:rFonts w:ascii="Arial" w:eastAsia="Arial" w:hAnsi="Arial" w:cs="Arial"/>
                <w:color w:val="000000" w:themeColor="text1"/>
                <w:sz w:val="24"/>
                <w:szCs w:val="24"/>
                <w:lang w:val="en-GB"/>
              </w:rPr>
            </w:pPr>
          </w:p>
        </w:tc>
      </w:tr>
      <w:tr w:rsidR="212CE821" w14:paraId="222719EC" w14:textId="77777777" w:rsidTr="212CE821">
        <w:tc>
          <w:tcPr>
            <w:tcW w:w="6480" w:type="dxa"/>
            <w:gridSpan w:val="2"/>
          </w:tcPr>
          <w:p w14:paraId="0A9704CF" w14:textId="3416D93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 xml:space="preserve">Good neighbourhood management policy </w:t>
            </w:r>
          </w:p>
        </w:tc>
        <w:tc>
          <w:tcPr>
            <w:tcW w:w="8040" w:type="dxa"/>
          </w:tcPr>
          <w:p w14:paraId="438979D4" w14:textId="7C6C8370"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69470848" w14:textId="77777777" w:rsidTr="212CE821">
        <w:tc>
          <w:tcPr>
            <w:tcW w:w="389" w:type="dxa"/>
          </w:tcPr>
          <w:p w14:paraId="1B9CEDB9" w14:textId="615AADC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4</w:t>
            </w:r>
          </w:p>
        </w:tc>
        <w:tc>
          <w:tcPr>
            <w:tcW w:w="6091" w:type="dxa"/>
          </w:tcPr>
          <w:p w14:paraId="0AB0AE88" w14:textId="69377561"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Landlords should have a proactive good neighbourhood management policy, distinct to the ASB policy, with a clear suite of options for maintaining good neighbourhood relationships and a matrix for assessing which option is the most appropriate. These options should include mediation, information sharing and community building events and, where appropriate, dedicated staffing. This will ensure that low level issues of neighbour friction are dealt with at the appropriate levels and not inappropriately handled as potential ASB. </w:t>
            </w:r>
          </w:p>
          <w:p w14:paraId="21E2D9AD" w14:textId="6A77EA11" w:rsidR="212CE821" w:rsidRDefault="212CE821" w:rsidP="212CE821">
            <w:pPr>
              <w:spacing w:line="259" w:lineRule="auto"/>
              <w:rPr>
                <w:rFonts w:ascii="Arial" w:eastAsia="Arial" w:hAnsi="Arial" w:cs="Arial"/>
                <w:color w:val="000000" w:themeColor="text1"/>
                <w:sz w:val="24"/>
                <w:szCs w:val="24"/>
              </w:rPr>
            </w:pPr>
          </w:p>
          <w:p w14:paraId="1AD35C5A" w14:textId="7762626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engage residents in the development of the good neighbourhood management policy, including residents who have recently raised a formal complaint with the landlord, to assure themselves that it reflects the expectations of residents and will be effective.</w:t>
            </w:r>
          </w:p>
        </w:tc>
        <w:tc>
          <w:tcPr>
            <w:tcW w:w="8040" w:type="dxa"/>
          </w:tcPr>
          <w:p w14:paraId="14779B47" w14:textId="5C8A86DD" w:rsidR="212CE821" w:rsidRDefault="212CE821" w:rsidP="212CE821">
            <w:pPr>
              <w:spacing w:line="259" w:lineRule="auto"/>
              <w:rPr>
                <w:rFonts w:ascii="Arial" w:eastAsia="Arial" w:hAnsi="Arial" w:cs="Arial"/>
                <w:color w:val="000000" w:themeColor="text1"/>
                <w:sz w:val="24"/>
                <w:szCs w:val="24"/>
                <w:lang w:val="en-GB"/>
              </w:rPr>
            </w:pPr>
          </w:p>
        </w:tc>
      </w:tr>
      <w:tr w:rsidR="212CE821" w14:paraId="4F3AAE09" w14:textId="77777777" w:rsidTr="212CE821">
        <w:tc>
          <w:tcPr>
            <w:tcW w:w="389" w:type="dxa"/>
          </w:tcPr>
          <w:p w14:paraId="4C02AB86" w14:textId="39D96107"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5</w:t>
            </w:r>
          </w:p>
        </w:tc>
        <w:tc>
          <w:tcPr>
            <w:tcW w:w="6091" w:type="dxa"/>
          </w:tcPr>
          <w:p w14:paraId="2AD65F74" w14:textId="5BE6C5C9"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Landlords should have a triage methodology for identifying whether a noise report should be handled </w:t>
            </w:r>
            <w:r w:rsidRPr="212CE821">
              <w:rPr>
                <w:rFonts w:ascii="Arial" w:eastAsia="Arial" w:hAnsi="Arial" w:cs="Arial"/>
                <w:color w:val="000000" w:themeColor="text1"/>
                <w:sz w:val="24"/>
                <w:szCs w:val="24"/>
                <w:lang w:val="en-GB"/>
              </w:rPr>
              <w:lastRenderedPageBreak/>
              <w:t>under the ASB policy or the good neighbourhood management policy. This should include a recognition that the time the noise occurred has a bearing on whether the noise is anti-social in nature.</w:t>
            </w:r>
          </w:p>
          <w:p w14:paraId="06D692F9" w14:textId="4D8FDA9C" w:rsidR="212CE821" w:rsidRDefault="212CE821" w:rsidP="212CE821">
            <w:pPr>
              <w:spacing w:line="259" w:lineRule="auto"/>
              <w:rPr>
                <w:rFonts w:ascii="Arial" w:eastAsia="Arial" w:hAnsi="Arial" w:cs="Arial"/>
                <w:color w:val="000000" w:themeColor="text1"/>
                <w:sz w:val="24"/>
                <w:szCs w:val="24"/>
              </w:rPr>
            </w:pPr>
          </w:p>
          <w:p w14:paraId="3CD921BE" w14:textId="655CB6A0"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Landlords should provide training on this triage methodology, including regular refresher training and whenever there is staff change. </w:t>
            </w:r>
          </w:p>
        </w:tc>
        <w:tc>
          <w:tcPr>
            <w:tcW w:w="8040" w:type="dxa"/>
          </w:tcPr>
          <w:p w14:paraId="7D25B2D2" w14:textId="31C2CB0D" w:rsidR="212CE821" w:rsidRDefault="212CE821" w:rsidP="212CE821">
            <w:pPr>
              <w:spacing w:line="259" w:lineRule="auto"/>
              <w:rPr>
                <w:rFonts w:ascii="Arial" w:eastAsia="Arial" w:hAnsi="Arial" w:cs="Arial"/>
                <w:color w:val="000000" w:themeColor="text1"/>
                <w:sz w:val="24"/>
                <w:szCs w:val="24"/>
                <w:lang w:val="en-GB"/>
              </w:rPr>
            </w:pPr>
          </w:p>
        </w:tc>
      </w:tr>
      <w:tr w:rsidR="212CE821" w14:paraId="6E113690" w14:textId="77777777" w:rsidTr="212CE821">
        <w:tc>
          <w:tcPr>
            <w:tcW w:w="389" w:type="dxa"/>
          </w:tcPr>
          <w:p w14:paraId="5CB84714" w14:textId="3FA13FC3"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6</w:t>
            </w:r>
          </w:p>
        </w:tc>
        <w:tc>
          <w:tcPr>
            <w:tcW w:w="6091" w:type="dxa"/>
          </w:tcPr>
          <w:p w14:paraId="444CE523" w14:textId="349B6C2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give consideration to separating the role responsible for collecting rent from the role handling noise reports to avoid any perception</w:t>
            </w:r>
          </w:p>
          <w:p w14:paraId="56700655" w14:textId="5FEFF80F"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of a conflict of interest and a concern that the resident might get a different service on their noise report than they might do otherwise if they are in arrears. </w:t>
            </w:r>
          </w:p>
        </w:tc>
        <w:tc>
          <w:tcPr>
            <w:tcW w:w="8040" w:type="dxa"/>
          </w:tcPr>
          <w:p w14:paraId="220D23CB" w14:textId="584CC23E" w:rsidR="212CE821" w:rsidRDefault="212CE821" w:rsidP="212CE821">
            <w:pPr>
              <w:spacing w:line="259" w:lineRule="auto"/>
              <w:rPr>
                <w:rFonts w:ascii="Arial" w:eastAsia="Arial" w:hAnsi="Arial" w:cs="Arial"/>
                <w:color w:val="000000" w:themeColor="text1"/>
                <w:sz w:val="24"/>
                <w:szCs w:val="24"/>
                <w:lang w:val="en-GB"/>
              </w:rPr>
            </w:pPr>
          </w:p>
        </w:tc>
      </w:tr>
      <w:tr w:rsidR="212CE821" w14:paraId="7B6832B4" w14:textId="77777777" w:rsidTr="212CE821">
        <w:tc>
          <w:tcPr>
            <w:tcW w:w="389" w:type="dxa"/>
          </w:tcPr>
          <w:p w14:paraId="16826216" w14:textId="7AB9CFA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7</w:t>
            </w:r>
          </w:p>
        </w:tc>
        <w:tc>
          <w:tcPr>
            <w:tcW w:w="6091" w:type="dxa"/>
          </w:tcPr>
          <w:p w14:paraId="78F58C4A" w14:textId="3A0509B6"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review the job descriptions of public-facing roles to ensure that the handling of reports under the good neighbourhood management policy is recognised as part of their housing service provision duties.</w:t>
            </w:r>
          </w:p>
        </w:tc>
        <w:tc>
          <w:tcPr>
            <w:tcW w:w="8040" w:type="dxa"/>
          </w:tcPr>
          <w:p w14:paraId="747E021A" w14:textId="7FC59C6C" w:rsidR="212CE821" w:rsidRDefault="212CE821" w:rsidP="212CE821">
            <w:pPr>
              <w:spacing w:line="259" w:lineRule="auto"/>
              <w:rPr>
                <w:rFonts w:ascii="Arial" w:eastAsia="Arial" w:hAnsi="Arial" w:cs="Arial"/>
                <w:color w:val="000000" w:themeColor="text1"/>
                <w:sz w:val="24"/>
                <w:szCs w:val="24"/>
                <w:lang w:val="en-GB"/>
              </w:rPr>
            </w:pPr>
          </w:p>
        </w:tc>
      </w:tr>
      <w:tr w:rsidR="212CE821" w14:paraId="12FCD00F" w14:textId="77777777" w:rsidTr="212CE821">
        <w:tc>
          <w:tcPr>
            <w:tcW w:w="389" w:type="dxa"/>
          </w:tcPr>
          <w:p w14:paraId="71432BE7" w14:textId="347E599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8</w:t>
            </w:r>
          </w:p>
        </w:tc>
        <w:tc>
          <w:tcPr>
            <w:tcW w:w="6091" w:type="dxa"/>
          </w:tcPr>
          <w:p w14:paraId="0E8AEB92" w14:textId="5821F09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have demonstrated the benefits of staff being present on some estates to provide early intervention where noise is reported. However, these resources are often limited and targeted at hotspots. Landlords should review its presence on estates and the data and information that prioritises intervention, to support an effective good neighbourhood strategy.</w:t>
            </w:r>
          </w:p>
        </w:tc>
        <w:tc>
          <w:tcPr>
            <w:tcW w:w="8040" w:type="dxa"/>
          </w:tcPr>
          <w:p w14:paraId="67E1213A" w14:textId="3F2C1BF5" w:rsidR="212CE821" w:rsidRDefault="212CE821" w:rsidP="212CE821">
            <w:pPr>
              <w:spacing w:line="259" w:lineRule="auto"/>
              <w:rPr>
                <w:rFonts w:ascii="Arial" w:eastAsia="Arial" w:hAnsi="Arial" w:cs="Arial"/>
                <w:color w:val="000000" w:themeColor="text1"/>
                <w:sz w:val="24"/>
                <w:szCs w:val="24"/>
                <w:lang w:val="en-GB"/>
              </w:rPr>
            </w:pPr>
          </w:p>
        </w:tc>
      </w:tr>
      <w:tr w:rsidR="212CE821" w14:paraId="6D011509" w14:textId="77777777" w:rsidTr="212CE821">
        <w:tc>
          <w:tcPr>
            <w:tcW w:w="6480" w:type="dxa"/>
            <w:gridSpan w:val="2"/>
          </w:tcPr>
          <w:p w14:paraId="29AACFAF" w14:textId="575459F6"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 xml:space="preserve">ASB policy </w:t>
            </w:r>
          </w:p>
        </w:tc>
        <w:tc>
          <w:tcPr>
            <w:tcW w:w="8040" w:type="dxa"/>
          </w:tcPr>
          <w:p w14:paraId="44DA95BC" w14:textId="2605B459"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57BDDD50" w14:textId="77777777" w:rsidTr="212CE821">
        <w:tc>
          <w:tcPr>
            <w:tcW w:w="389" w:type="dxa"/>
          </w:tcPr>
          <w:p w14:paraId="26444B72" w14:textId="4947B868"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9</w:t>
            </w:r>
          </w:p>
        </w:tc>
        <w:tc>
          <w:tcPr>
            <w:tcW w:w="6091" w:type="dxa"/>
          </w:tcPr>
          <w:p w14:paraId="6B83ECA0" w14:textId="5B4E69D8"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ASB policy timescales should be realistic and achievable. Adherence to timescales should form part of governance reporting. </w:t>
            </w:r>
          </w:p>
        </w:tc>
        <w:tc>
          <w:tcPr>
            <w:tcW w:w="8040" w:type="dxa"/>
          </w:tcPr>
          <w:p w14:paraId="5A48BFE2" w14:textId="2B5130A7" w:rsidR="212CE821" w:rsidRDefault="212CE821" w:rsidP="212CE821">
            <w:pPr>
              <w:spacing w:line="259" w:lineRule="auto"/>
              <w:rPr>
                <w:rFonts w:ascii="Arial" w:eastAsia="Arial" w:hAnsi="Arial" w:cs="Arial"/>
                <w:color w:val="000000" w:themeColor="text1"/>
                <w:sz w:val="24"/>
                <w:szCs w:val="24"/>
                <w:lang w:val="en-GB"/>
              </w:rPr>
            </w:pPr>
          </w:p>
        </w:tc>
      </w:tr>
      <w:tr w:rsidR="212CE821" w14:paraId="44D22EFD" w14:textId="77777777" w:rsidTr="212CE821">
        <w:tc>
          <w:tcPr>
            <w:tcW w:w="389" w:type="dxa"/>
          </w:tcPr>
          <w:p w14:paraId="0F46D71A" w14:textId="469950CE"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10</w:t>
            </w:r>
          </w:p>
        </w:tc>
        <w:tc>
          <w:tcPr>
            <w:tcW w:w="6091" w:type="dxa"/>
          </w:tcPr>
          <w:p w14:paraId="65525D7F" w14:textId="012642F1"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Where options for action are included in an ASB policy, there should be clearly set out thresholds when they will be considered and/or when they might be considered inappropriate. </w:t>
            </w:r>
          </w:p>
        </w:tc>
        <w:tc>
          <w:tcPr>
            <w:tcW w:w="8040" w:type="dxa"/>
          </w:tcPr>
          <w:p w14:paraId="6D6A7D53" w14:textId="75805D59" w:rsidR="212CE821" w:rsidRDefault="212CE821" w:rsidP="212CE821">
            <w:pPr>
              <w:spacing w:line="259" w:lineRule="auto"/>
              <w:rPr>
                <w:rFonts w:ascii="Arial" w:eastAsia="Arial" w:hAnsi="Arial" w:cs="Arial"/>
                <w:color w:val="000000" w:themeColor="text1"/>
                <w:sz w:val="24"/>
                <w:szCs w:val="24"/>
                <w:lang w:val="en-GB"/>
              </w:rPr>
            </w:pPr>
          </w:p>
        </w:tc>
      </w:tr>
      <w:tr w:rsidR="212CE821" w14:paraId="0599A12E" w14:textId="77777777" w:rsidTr="212CE821">
        <w:tc>
          <w:tcPr>
            <w:tcW w:w="389" w:type="dxa"/>
          </w:tcPr>
          <w:p w14:paraId="196A97C1" w14:textId="18543A7B"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lastRenderedPageBreak/>
              <w:t>11</w:t>
            </w:r>
          </w:p>
        </w:tc>
        <w:tc>
          <w:tcPr>
            <w:tcW w:w="6091" w:type="dxa"/>
          </w:tcPr>
          <w:p w14:paraId="099EDFD6" w14:textId="4E29BC4D"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ASB policies should be realistic and practicable. Landlords should review their existing policy for whether it is routinely complied with or whether it is inherently unworkable, particularly in regard to the frequency of updates to residents, the number of stages and the likely outcomes.</w:t>
            </w:r>
          </w:p>
          <w:p w14:paraId="3F0859CB" w14:textId="0CEB9D0D" w:rsidR="212CE821" w:rsidRDefault="212CE821" w:rsidP="212CE821">
            <w:pPr>
              <w:spacing w:line="259" w:lineRule="auto"/>
              <w:rPr>
                <w:rFonts w:ascii="Arial" w:eastAsia="Arial" w:hAnsi="Arial" w:cs="Arial"/>
                <w:color w:val="000000" w:themeColor="text1"/>
                <w:sz w:val="24"/>
                <w:szCs w:val="24"/>
              </w:rPr>
            </w:pPr>
          </w:p>
          <w:p w14:paraId="6517B380" w14:textId="4B76126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engage residents in the review of the ASB policy, including residents who have recently raised a formal complaint with the landlord, to assure themselves that it reflects the expectations of residents and will be effective.</w:t>
            </w:r>
          </w:p>
        </w:tc>
        <w:tc>
          <w:tcPr>
            <w:tcW w:w="8040" w:type="dxa"/>
          </w:tcPr>
          <w:p w14:paraId="05C217F3" w14:textId="744A9C3F" w:rsidR="212CE821" w:rsidRDefault="212CE821" w:rsidP="212CE821">
            <w:pPr>
              <w:spacing w:line="259" w:lineRule="auto"/>
              <w:rPr>
                <w:rFonts w:ascii="Arial" w:eastAsia="Arial" w:hAnsi="Arial" w:cs="Arial"/>
                <w:color w:val="000000" w:themeColor="text1"/>
                <w:sz w:val="24"/>
                <w:szCs w:val="24"/>
                <w:lang w:val="en-GB"/>
              </w:rPr>
            </w:pPr>
          </w:p>
        </w:tc>
      </w:tr>
      <w:tr w:rsidR="212CE821" w14:paraId="3D82E6FA" w14:textId="77777777" w:rsidTr="212CE821">
        <w:tc>
          <w:tcPr>
            <w:tcW w:w="6480" w:type="dxa"/>
            <w:gridSpan w:val="2"/>
          </w:tcPr>
          <w:p w14:paraId="6D701032" w14:textId="0E5A232E"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Allocations policy</w:t>
            </w:r>
          </w:p>
        </w:tc>
        <w:tc>
          <w:tcPr>
            <w:tcW w:w="8040" w:type="dxa"/>
          </w:tcPr>
          <w:p w14:paraId="3B096739" w14:textId="1AD5D2CF"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3F00600E" w14:textId="77777777" w:rsidTr="212CE821">
        <w:tc>
          <w:tcPr>
            <w:tcW w:w="389" w:type="dxa"/>
          </w:tcPr>
          <w:p w14:paraId="09D0F4EC" w14:textId="4122298F"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12</w:t>
            </w:r>
          </w:p>
        </w:tc>
        <w:tc>
          <w:tcPr>
            <w:tcW w:w="6091" w:type="dxa"/>
          </w:tcPr>
          <w:p w14:paraId="39CF610E" w14:textId="68AC095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All applications for housing should be assessed for the impact on the existing community and not just those considered to be sensitive. </w:t>
            </w:r>
          </w:p>
        </w:tc>
        <w:tc>
          <w:tcPr>
            <w:tcW w:w="8040" w:type="dxa"/>
          </w:tcPr>
          <w:p w14:paraId="15DE3372" w14:textId="21D460A1" w:rsidR="212CE821" w:rsidRDefault="212CE821" w:rsidP="212CE821">
            <w:pPr>
              <w:spacing w:line="259" w:lineRule="auto"/>
              <w:rPr>
                <w:rFonts w:ascii="Arial" w:eastAsia="Arial" w:hAnsi="Arial" w:cs="Arial"/>
                <w:color w:val="000000" w:themeColor="text1"/>
                <w:sz w:val="24"/>
                <w:szCs w:val="24"/>
                <w:lang w:val="en-GB"/>
              </w:rPr>
            </w:pPr>
          </w:p>
        </w:tc>
      </w:tr>
      <w:tr w:rsidR="212CE821" w14:paraId="0217EC26" w14:textId="77777777" w:rsidTr="212CE821">
        <w:tc>
          <w:tcPr>
            <w:tcW w:w="389" w:type="dxa"/>
          </w:tcPr>
          <w:p w14:paraId="0286C853" w14:textId="0D0CD8FB"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13</w:t>
            </w:r>
          </w:p>
        </w:tc>
        <w:tc>
          <w:tcPr>
            <w:tcW w:w="6091" w:type="dxa"/>
          </w:tcPr>
          <w:p w14:paraId="67627EB5" w14:textId="47E2A900"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When considering housing applications from families or households with multiple occupants, consideration should be given to the suitability of allocating properties above ground floor, where previous reports of noise nuisance (whether upheld or not) have been made and whether any mitigations can be made to the home. </w:t>
            </w:r>
          </w:p>
        </w:tc>
        <w:tc>
          <w:tcPr>
            <w:tcW w:w="8040" w:type="dxa"/>
          </w:tcPr>
          <w:p w14:paraId="442152BA" w14:textId="1E790A17" w:rsidR="212CE821" w:rsidRDefault="212CE821" w:rsidP="212CE821">
            <w:pPr>
              <w:spacing w:line="259" w:lineRule="auto"/>
              <w:rPr>
                <w:rFonts w:ascii="Arial" w:eastAsia="Arial" w:hAnsi="Arial" w:cs="Arial"/>
                <w:color w:val="000000" w:themeColor="text1"/>
                <w:sz w:val="24"/>
                <w:szCs w:val="24"/>
                <w:lang w:val="en-GB"/>
              </w:rPr>
            </w:pPr>
          </w:p>
        </w:tc>
      </w:tr>
      <w:tr w:rsidR="212CE821" w14:paraId="119259E5" w14:textId="77777777" w:rsidTr="212CE821">
        <w:tc>
          <w:tcPr>
            <w:tcW w:w="389" w:type="dxa"/>
          </w:tcPr>
          <w:p w14:paraId="5DEFE904" w14:textId="0722CF6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14</w:t>
            </w:r>
          </w:p>
        </w:tc>
        <w:tc>
          <w:tcPr>
            <w:tcW w:w="6091" w:type="dxa"/>
          </w:tcPr>
          <w:p w14:paraId="0F81D859" w14:textId="1B2DDCC7"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New tenancy agreements for flats above ground floor should include clauses that hard flooring is not permitted.</w:t>
            </w:r>
          </w:p>
        </w:tc>
        <w:tc>
          <w:tcPr>
            <w:tcW w:w="8040" w:type="dxa"/>
          </w:tcPr>
          <w:p w14:paraId="3CEEAF54" w14:textId="20E6F84B" w:rsidR="212CE821" w:rsidRDefault="212CE821" w:rsidP="212CE821">
            <w:pPr>
              <w:spacing w:line="259" w:lineRule="auto"/>
              <w:rPr>
                <w:rFonts w:ascii="Arial" w:eastAsia="Arial" w:hAnsi="Arial" w:cs="Arial"/>
                <w:color w:val="000000" w:themeColor="text1"/>
                <w:sz w:val="24"/>
                <w:szCs w:val="24"/>
                <w:lang w:val="en-GB"/>
              </w:rPr>
            </w:pPr>
          </w:p>
        </w:tc>
      </w:tr>
      <w:tr w:rsidR="212CE821" w14:paraId="7F7AA0D9" w14:textId="77777777" w:rsidTr="212CE821">
        <w:tc>
          <w:tcPr>
            <w:tcW w:w="6480" w:type="dxa"/>
            <w:gridSpan w:val="2"/>
          </w:tcPr>
          <w:p w14:paraId="1C5AB7AB" w14:textId="0A0F5A7E"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Multi-agency relationships</w:t>
            </w:r>
          </w:p>
        </w:tc>
        <w:tc>
          <w:tcPr>
            <w:tcW w:w="8040" w:type="dxa"/>
          </w:tcPr>
          <w:p w14:paraId="69558D80" w14:textId="70E9270F"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73D9A63A" w14:textId="77777777" w:rsidTr="212CE821">
        <w:tc>
          <w:tcPr>
            <w:tcW w:w="389" w:type="dxa"/>
          </w:tcPr>
          <w:p w14:paraId="360ED965" w14:textId="6AAB8FA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15</w:t>
            </w:r>
          </w:p>
        </w:tc>
        <w:tc>
          <w:tcPr>
            <w:tcW w:w="6091" w:type="dxa"/>
          </w:tcPr>
          <w:p w14:paraId="4EABB34E" w14:textId="59646C9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will often need to work with other agencies, including the police and environmental health, when responding to noise reports, however the strength of those relationships are inconsistent. Landlords should consider the service level agreements they have in place with different bodies and their effectiveness, and whether roles and responsibilities are clear.</w:t>
            </w:r>
          </w:p>
        </w:tc>
        <w:tc>
          <w:tcPr>
            <w:tcW w:w="8040" w:type="dxa"/>
          </w:tcPr>
          <w:p w14:paraId="45D75F1F" w14:textId="22AE9F36" w:rsidR="212CE821" w:rsidRDefault="212CE821" w:rsidP="212CE821">
            <w:pPr>
              <w:spacing w:line="259" w:lineRule="auto"/>
              <w:rPr>
                <w:rFonts w:ascii="Arial" w:eastAsia="Arial" w:hAnsi="Arial" w:cs="Arial"/>
                <w:color w:val="000000" w:themeColor="text1"/>
                <w:sz w:val="24"/>
                <w:szCs w:val="24"/>
                <w:lang w:val="en-GB"/>
              </w:rPr>
            </w:pPr>
          </w:p>
        </w:tc>
      </w:tr>
      <w:tr w:rsidR="212CE821" w14:paraId="3C438B62" w14:textId="77777777" w:rsidTr="212CE821">
        <w:tc>
          <w:tcPr>
            <w:tcW w:w="6480" w:type="dxa"/>
            <w:gridSpan w:val="2"/>
          </w:tcPr>
          <w:p w14:paraId="2EC91CEB" w14:textId="09CE757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Data, record keeping and information sharing</w:t>
            </w:r>
          </w:p>
        </w:tc>
        <w:tc>
          <w:tcPr>
            <w:tcW w:w="8040" w:type="dxa"/>
          </w:tcPr>
          <w:p w14:paraId="43E1AFBB" w14:textId="01521220"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5230DE3B" w14:textId="77777777" w:rsidTr="212CE821">
        <w:tc>
          <w:tcPr>
            <w:tcW w:w="389" w:type="dxa"/>
          </w:tcPr>
          <w:p w14:paraId="0396C7B8" w14:textId="35A4FFE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lastRenderedPageBreak/>
              <w:t>16</w:t>
            </w:r>
          </w:p>
        </w:tc>
        <w:tc>
          <w:tcPr>
            <w:tcW w:w="6091" w:type="dxa"/>
          </w:tcPr>
          <w:p w14:paraId="2EC87644" w14:textId="3F21CFF8"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Local Authorities should ensure that information shared relating to an applicant’s suitability for a vacant home is substantial enough to support any requirements relating to sensitive lettings. Sharing information with housing associations to inform allocations is a lawful basis for processing data. If it is not possible to provide direct access to a housing register to facilitate this, an appropriate download of relevant data should be provided to housing associations.</w:t>
            </w:r>
          </w:p>
        </w:tc>
        <w:tc>
          <w:tcPr>
            <w:tcW w:w="8040" w:type="dxa"/>
          </w:tcPr>
          <w:p w14:paraId="37B26C4E" w14:textId="338000F8" w:rsidR="212CE821" w:rsidRDefault="212CE821" w:rsidP="212CE821">
            <w:pPr>
              <w:spacing w:line="259" w:lineRule="auto"/>
              <w:rPr>
                <w:rFonts w:ascii="Arial" w:eastAsia="Arial" w:hAnsi="Arial" w:cs="Arial"/>
                <w:color w:val="000000" w:themeColor="text1"/>
                <w:sz w:val="24"/>
                <w:szCs w:val="24"/>
                <w:lang w:val="en-GB"/>
              </w:rPr>
            </w:pPr>
          </w:p>
        </w:tc>
      </w:tr>
      <w:tr w:rsidR="212CE821" w14:paraId="75C0BB37" w14:textId="77777777" w:rsidTr="212CE821">
        <w:tc>
          <w:tcPr>
            <w:tcW w:w="389" w:type="dxa"/>
          </w:tcPr>
          <w:p w14:paraId="5F22472E" w14:textId="7BB736B9"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17</w:t>
            </w:r>
          </w:p>
        </w:tc>
        <w:tc>
          <w:tcPr>
            <w:tcW w:w="6091" w:type="dxa"/>
          </w:tcPr>
          <w:p w14:paraId="2FD11180" w14:textId="2665491D"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Databases should align noise reports to both the person the report has been made against and the address the report has been made against. Where the investigation of the report concludes that it is the nature of the address, rather than the person occupying it, that is the reason the noise is occurring, this should be captured on the databases to ensure that the noise report is aligned to the causation.</w:t>
            </w:r>
          </w:p>
        </w:tc>
        <w:tc>
          <w:tcPr>
            <w:tcW w:w="8040" w:type="dxa"/>
          </w:tcPr>
          <w:p w14:paraId="045E9E08" w14:textId="45037D62" w:rsidR="212CE821" w:rsidRDefault="212CE821" w:rsidP="212CE821">
            <w:pPr>
              <w:spacing w:line="259" w:lineRule="auto"/>
              <w:rPr>
                <w:rFonts w:ascii="Arial" w:eastAsia="Arial" w:hAnsi="Arial" w:cs="Arial"/>
                <w:color w:val="000000" w:themeColor="text1"/>
                <w:sz w:val="24"/>
                <w:szCs w:val="24"/>
                <w:lang w:val="en-GB"/>
              </w:rPr>
            </w:pPr>
          </w:p>
        </w:tc>
      </w:tr>
      <w:tr w:rsidR="212CE821" w14:paraId="3E047634" w14:textId="77777777" w:rsidTr="212CE821">
        <w:tc>
          <w:tcPr>
            <w:tcW w:w="389" w:type="dxa"/>
          </w:tcPr>
          <w:p w14:paraId="4F2CE2C0" w14:textId="66503B4D"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18</w:t>
            </w:r>
          </w:p>
        </w:tc>
        <w:tc>
          <w:tcPr>
            <w:tcW w:w="6091" w:type="dxa"/>
          </w:tcPr>
          <w:p w14:paraId="1D7755DF" w14:textId="50DCC901"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Landlords should consider their current approach to retaining the evidence of noise that a resident submits and satisfy themselves it is sufficiently accurate and robust to ensure that they cannot lose the evidence provided. Due regard should be given to the requirements of GDPR for the retention and processing of data. </w:t>
            </w:r>
          </w:p>
        </w:tc>
        <w:tc>
          <w:tcPr>
            <w:tcW w:w="8040" w:type="dxa"/>
          </w:tcPr>
          <w:p w14:paraId="7CCF463C" w14:textId="79410ECF" w:rsidR="212CE821" w:rsidRDefault="212CE821" w:rsidP="212CE821">
            <w:pPr>
              <w:spacing w:line="259" w:lineRule="auto"/>
              <w:rPr>
                <w:rFonts w:ascii="Arial" w:eastAsia="Arial" w:hAnsi="Arial" w:cs="Arial"/>
                <w:color w:val="000000" w:themeColor="text1"/>
                <w:sz w:val="24"/>
                <w:szCs w:val="24"/>
                <w:lang w:val="en-GB"/>
              </w:rPr>
            </w:pPr>
          </w:p>
        </w:tc>
      </w:tr>
      <w:tr w:rsidR="212CE821" w14:paraId="3E33E5EC" w14:textId="77777777" w:rsidTr="212CE821">
        <w:tc>
          <w:tcPr>
            <w:tcW w:w="6480" w:type="dxa"/>
            <w:gridSpan w:val="2"/>
            <w:vAlign w:val="center"/>
          </w:tcPr>
          <w:p w14:paraId="25B1997A" w14:textId="4CEB3FB2"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Respect</w:t>
            </w:r>
          </w:p>
        </w:tc>
        <w:tc>
          <w:tcPr>
            <w:tcW w:w="8040" w:type="dxa"/>
            <w:vAlign w:val="center"/>
          </w:tcPr>
          <w:p w14:paraId="005CED57" w14:textId="5CC48F58"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5CCAB1BA" w14:textId="77777777" w:rsidTr="212CE821">
        <w:tc>
          <w:tcPr>
            <w:tcW w:w="389" w:type="dxa"/>
          </w:tcPr>
          <w:p w14:paraId="5EE03B4D" w14:textId="02DC99E0"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19</w:t>
            </w:r>
          </w:p>
        </w:tc>
        <w:tc>
          <w:tcPr>
            <w:tcW w:w="6091" w:type="dxa"/>
          </w:tcPr>
          <w:p w14:paraId="03FAB2BC" w14:textId="5CF7F071"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ensure the tone of communication does not result in perceptions of bias against, or being dismissive of, the resident reporting noise.</w:t>
            </w:r>
          </w:p>
        </w:tc>
        <w:tc>
          <w:tcPr>
            <w:tcW w:w="8040" w:type="dxa"/>
          </w:tcPr>
          <w:p w14:paraId="1F106788" w14:textId="64BA8622" w:rsidR="212CE821" w:rsidRDefault="212CE821" w:rsidP="212CE821">
            <w:pPr>
              <w:spacing w:line="259" w:lineRule="auto"/>
              <w:rPr>
                <w:rFonts w:ascii="Arial" w:eastAsia="Arial" w:hAnsi="Arial" w:cs="Arial"/>
                <w:color w:val="000000" w:themeColor="text1"/>
                <w:sz w:val="24"/>
                <w:szCs w:val="24"/>
                <w:lang w:val="en-GB"/>
              </w:rPr>
            </w:pPr>
          </w:p>
        </w:tc>
      </w:tr>
      <w:tr w:rsidR="212CE821" w14:paraId="6CB7F21C" w14:textId="77777777" w:rsidTr="212CE821">
        <w:tc>
          <w:tcPr>
            <w:tcW w:w="389" w:type="dxa"/>
          </w:tcPr>
          <w:p w14:paraId="08969EBA" w14:textId="4AA702B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20</w:t>
            </w:r>
          </w:p>
        </w:tc>
        <w:tc>
          <w:tcPr>
            <w:tcW w:w="6091" w:type="dxa"/>
          </w:tcPr>
          <w:p w14:paraId="7E3FB5A7" w14:textId="5ECCFFC8" w:rsidR="212CE821" w:rsidRDefault="212CE821" w:rsidP="212CE821">
            <w:pPr>
              <w:spacing w:line="259" w:lineRule="auto"/>
              <w:rPr>
                <w:rFonts w:ascii="Arial" w:eastAsia="Arial" w:hAnsi="Arial" w:cs="Arial"/>
                <w:color w:val="000000" w:themeColor="text1"/>
                <w:sz w:val="24"/>
                <w:szCs w:val="24"/>
              </w:rPr>
            </w:pPr>
            <w:r w:rsidRPr="212CE821">
              <w:rPr>
                <w:rStyle w:val="cf01"/>
                <w:rFonts w:ascii="Arial" w:eastAsia="Arial" w:hAnsi="Arial" w:cs="Arial"/>
                <w:color w:val="000000" w:themeColor="text1"/>
                <w:sz w:val="24"/>
                <w:szCs w:val="24"/>
                <w:lang w:val="en-GB"/>
              </w:rPr>
              <w:t>Landlords should begin preparing for the Access to Information Scheme and communicate this to staff in emphasising the need for professional courtesy and respect for residents in internal and external communication.</w:t>
            </w:r>
          </w:p>
        </w:tc>
        <w:tc>
          <w:tcPr>
            <w:tcW w:w="8040" w:type="dxa"/>
          </w:tcPr>
          <w:p w14:paraId="61D7D185" w14:textId="53A4CC6D" w:rsidR="212CE821" w:rsidRDefault="212CE821" w:rsidP="212CE821">
            <w:pPr>
              <w:spacing w:line="259" w:lineRule="auto"/>
              <w:rPr>
                <w:rStyle w:val="cf01"/>
                <w:rFonts w:ascii="Arial" w:eastAsia="Arial" w:hAnsi="Arial" w:cs="Arial"/>
                <w:color w:val="000000" w:themeColor="text1"/>
                <w:sz w:val="24"/>
                <w:szCs w:val="24"/>
                <w:lang w:val="en-GB"/>
              </w:rPr>
            </w:pPr>
          </w:p>
        </w:tc>
      </w:tr>
      <w:tr w:rsidR="212CE821" w14:paraId="6575F0AA" w14:textId="77777777" w:rsidTr="212CE821">
        <w:tc>
          <w:tcPr>
            <w:tcW w:w="6480" w:type="dxa"/>
            <w:gridSpan w:val="2"/>
          </w:tcPr>
          <w:p w14:paraId="1960DBBD" w14:textId="2C08469A"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Starting the tenancy</w:t>
            </w:r>
          </w:p>
        </w:tc>
        <w:tc>
          <w:tcPr>
            <w:tcW w:w="8040" w:type="dxa"/>
          </w:tcPr>
          <w:p w14:paraId="459084AB" w14:textId="7E8608C7"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79B1D7E0" w14:textId="77777777" w:rsidTr="212CE821">
        <w:tc>
          <w:tcPr>
            <w:tcW w:w="389" w:type="dxa"/>
          </w:tcPr>
          <w:p w14:paraId="204B8A28" w14:textId="1073CD19"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lastRenderedPageBreak/>
              <w:t>21</w:t>
            </w:r>
          </w:p>
        </w:tc>
        <w:tc>
          <w:tcPr>
            <w:tcW w:w="6091" w:type="dxa"/>
          </w:tcPr>
          <w:p w14:paraId="6E5B6456" w14:textId="503CC0D7"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provide information leaflets on ‘how to be a good neighbour’ as standard with the new tenancy induction pack, especially on estates where there have been ASB issues previously or where sensitive lettings policies are in place.</w:t>
            </w:r>
          </w:p>
        </w:tc>
        <w:tc>
          <w:tcPr>
            <w:tcW w:w="8040" w:type="dxa"/>
          </w:tcPr>
          <w:p w14:paraId="64765836" w14:textId="07A7A01C" w:rsidR="212CE821" w:rsidRDefault="212CE821" w:rsidP="212CE821">
            <w:pPr>
              <w:spacing w:line="259" w:lineRule="auto"/>
              <w:rPr>
                <w:rFonts w:ascii="Arial" w:eastAsia="Arial" w:hAnsi="Arial" w:cs="Arial"/>
                <w:color w:val="000000" w:themeColor="text1"/>
                <w:sz w:val="24"/>
                <w:szCs w:val="24"/>
                <w:lang w:val="en-GB"/>
              </w:rPr>
            </w:pPr>
          </w:p>
        </w:tc>
      </w:tr>
      <w:tr w:rsidR="212CE821" w14:paraId="6A2FE4EE" w14:textId="77777777" w:rsidTr="212CE821">
        <w:tc>
          <w:tcPr>
            <w:tcW w:w="6480" w:type="dxa"/>
            <w:gridSpan w:val="2"/>
          </w:tcPr>
          <w:p w14:paraId="4236FB88" w14:textId="5BB63526"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Existing tenancies</w:t>
            </w:r>
          </w:p>
        </w:tc>
        <w:tc>
          <w:tcPr>
            <w:tcW w:w="8040" w:type="dxa"/>
          </w:tcPr>
          <w:p w14:paraId="6A033942" w14:textId="21D62006"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1F73AC1A" w14:textId="77777777" w:rsidTr="212CE821">
        <w:tc>
          <w:tcPr>
            <w:tcW w:w="389" w:type="dxa"/>
          </w:tcPr>
          <w:p w14:paraId="6B62F3E2" w14:textId="4004D7E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22</w:t>
            </w:r>
          </w:p>
        </w:tc>
        <w:tc>
          <w:tcPr>
            <w:tcW w:w="6091" w:type="dxa"/>
          </w:tcPr>
          <w:p w14:paraId="323C927D" w14:textId="5CED6498"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For existing tenancy agreements where hard flooring is only permitted with permission and/or with conditions (such as appropriate underlay or that permission will be rescinded if a noise report is made), if a noise report is made, those clauses should be inspected against and enforced.</w:t>
            </w:r>
          </w:p>
        </w:tc>
        <w:tc>
          <w:tcPr>
            <w:tcW w:w="8040" w:type="dxa"/>
          </w:tcPr>
          <w:p w14:paraId="564225CD" w14:textId="135273C0" w:rsidR="212CE821" w:rsidRDefault="212CE821" w:rsidP="212CE821">
            <w:pPr>
              <w:spacing w:line="259" w:lineRule="auto"/>
              <w:rPr>
                <w:rFonts w:ascii="Arial" w:eastAsia="Arial" w:hAnsi="Arial" w:cs="Arial"/>
                <w:color w:val="000000" w:themeColor="text1"/>
                <w:sz w:val="24"/>
                <w:szCs w:val="24"/>
                <w:lang w:val="en-GB"/>
              </w:rPr>
            </w:pPr>
          </w:p>
        </w:tc>
      </w:tr>
      <w:tr w:rsidR="212CE821" w14:paraId="2A090BBF" w14:textId="77777777" w:rsidTr="212CE821">
        <w:tc>
          <w:tcPr>
            <w:tcW w:w="389" w:type="dxa"/>
          </w:tcPr>
          <w:p w14:paraId="2740416D" w14:textId="56E8CB2F"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23</w:t>
            </w:r>
          </w:p>
        </w:tc>
        <w:tc>
          <w:tcPr>
            <w:tcW w:w="6091" w:type="dxa"/>
          </w:tcPr>
          <w:p w14:paraId="72E6C1AD" w14:textId="5259ECB5"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For existing tenancies where carpets were removed and/or hard flooring is present, the landlord should signpost residents where appropriate to funding for carpets and rugs.</w:t>
            </w:r>
          </w:p>
        </w:tc>
        <w:tc>
          <w:tcPr>
            <w:tcW w:w="8040" w:type="dxa"/>
          </w:tcPr>
          <w:p w14:paraId="7EB2A7F9" w14:textId="66B005DA" w:rsidR="212CE821" w:rsidRDefault="212CE821" w:rsidP="212CE821">
            <w:pPr>
              <w:spacing w:line="259" w:lineRule="auto"/>
              <w:rPr>
                <w:rFonts w:ascii="Arial" w:eastAsia="Arial" w:hAnsi="Arial" w:cs="Arial"/>
                <w:color w:val="000000" w:themeColor="text1"/>
                <w:sz w:val="24"/>
                <w:szCs w:val="24"/>
                <w:lang w:val="en-GB"/>
              </w:rPr>
            </w:pPr>
          </w:p>
        </w:tc>
      </w:tr>
      <w:tr w:rsidR="212CE821" w14:paraId="027B176E" w14:textId="77777777" w:rsidTr="212CE821">
        <w:tc>
          <w:tcPr>
            <w:tcW w:w="6480" w:type="dxa"/>
            <w:gridSpan w:val="2"/>
          </w:tcPr>
          <w:p w14:paraId="4AF3E1B9" w14:textId="13FE9F0A"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b/>
                <w:bCs/>
                <w:color w:val="000000" w:themeColor="text1"/>
                <w:sz w:val="24"/>
                <w:szCs w:val="24"/>
                <w:lang w:val="en-GB"/>
              </w:rPr>
              <w:t>Handling a noise report</w:t>
            </w:r>
          </w:p>
        </w:tc>
        <w:tc>
          <w:tcPr>
            <w:tcW w:w="8040" w:type="dxa"/>
          </w:tcPr>
          <w:p w14:paraId="72DEC0FD" w14:textId="2A75948A" w:rsidR="212CE821" w:rsidRDefault="212CE821" w:rsidP="212CE821">
            <w:pPr>
              <w:spacing w:line="259" w:lineRule="auto"/>
              <w:rPr>
                <w:rFonts w:ascii="Arial" w:eastAsia="Arial" w:hAnsi="Arial" w:cs="Arial"/>
                <w:b/>
                <w:bCs/>
                <w:color w:val="000000" w:themeColor="text1"/>
                <w:sz w:val="24"/>
                <w:szCs w:val="24"/>
                <w:lang w:val="en-GB"/>
              </w:rPr>
            </w:pPr>
          </w:p>
        </w:tc>
      </w:tr>
      <w:tr w:rsidR="212CE821" w14:paraId="429F83D6" w14:textId="77777777" w:rsidTr="212CE821">
        <w:tc>
          <w:tcPr>
            <w:tcW w:w="389" w:type="dxa"/>
          </w:tcPr>
          <w:p w14:paraId="4CCA803D" w14:textId="38833831"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24</w:t>
            </w:r>
          </w:p>
        </w:tc>
        <w:tc>
          <w:tcPr>
            <w:tcW w:w="6091" w:type="dxa"/>
          </w:tcPr>
          <w:p w14:paraId="7A67A8EE" w14:textId="749156F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assure themselves that it is clear to residents when and how to report noise nuisance to them, with a full range of accessible and inclusive options available for residents to report noise.</w:t>
            </w:r>
          </w:p>
        </w:tc>
        <w:tc>
          <w:tcPr>
            <w:tcW w:w="8040" w:type="dxa"/>
          </w:tcPr>
          <w:p w14:paraId="00F722EE" w14:textId="3632E8E3" w:rsidR="212CE821" w:rsidRDefault="212CE821" w:rsidP="212CE821">
            <w:pPr>
              <w:spacing w:line="259" w:lineRule="auto"/>
              <w:rPr>
                <w:rFonts w:ascii="Arial" w:eastAsia="Arial" w:hAnsi="Arial" w:cs="Arial"/>
                <w:color w:val="000000" w:themeColor="text1"/>
                <w:sz w:val="24"/>
                <w:szCs w:val="24"/>
                <w:lang w:val="en-GB"/>
              </w:rPr>
            </w:pPr>
          </w:p>
        </w:tc>
      </w:tr>
      <w:tr w:rsidR="212CE821" w14:paraId="14B113A9" w14:textId="77777777" w:rsidTr="212CE821">
        <w:tc>
          <w:tcPr>
            <w:tcW w:w="389" w:type="dxa"/>
          </w:tcPr>
          <w:p w14:paraId="18D3B3C1" w14:textId="2316B79B"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25</w:t>
            </w:r>
          </w:p>
        </w:tc>
        <w:tc>
          <w:tcPr>
            <w:tcW w:w="6091" w:type="dxa"/>
          </w:tcPr>
          <w:p w14:paraId="039D6D19" w14:textId="24EA4283"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Residents must be clearly told if their noise report is being handled within the good neighbourhood management policy or is considered to be ASB. </w:t>
            </w:r>
          </w:p>
        </w:tc>
        <w:tc>
          <w:tcPr>
            <w:tcW w:w="8040" w:type="dxa"/>
          </w:tcPr>
          <w:p w14:paraId="0F19E836" w14:textId="0776735A" w:rsidR="212CE821" w:rsidRDefault="212CE821" w:rsidP="212CE821">
            <w:pPr>
              <w:spacing w:line="259" w:lineRule="auto"/>
              <w:rPr>
                <w:rFonts w:ascii="Arial" w:eastAsia="Arial" w:hAnsi="Arial" w:cs="Arial"/>
                <w:color w:val="000000" w:themeColor="text1"/>
                <w:sz w:val="24"/>
                <w:szCs w:val="24"/>
                <w:lang w:val="en-GB"/>
              </w:rPr>
            </w:pPr>
          </w:p>
        </w:tc>
      </w:tr>
      <w:tr w:rsidR="212CE821" w14:paraId="1DA2EE97" w14:textId="77777777" w:rsidTr="212CE821">
        <w:tc>
          <w:tcPr>
            <w:tcW w:w="389" w:type="dxa"/>
          </w:tcPr>
          <w:p w14:paraId="097509D9" w14:textId="06B71187"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26</w:t>
            </w:r>
          </w:p>
        </w:tc>
        <w:tc>
          <w:tcPr>
            <w:tcW w:w="6091" w:type="dxa"/>
          </w:tcPr>
          <w:p w14:paraId="38D96D89" w14:textId="30E46C6F"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If landlords are aware there is going to be a delay in addressing a noise report and the timescales provided to the resident will not be met, explain this at the earliest available opportunity and provide revised timescales.</w:t>
            </w:r>
          </w:p>
        </w:tc>
        <w:tc>
          <w:tcPr>
            <w:tcW w:w="8040" w:type="dxa"/>
          </w:tcPr>
          <w:p w14:paraId="61CB45FF" w14:textId="46B3DE66" w:rsidR="212CE821" w:rsidRDefault="212CE821" w:rsidP="212CE821">
            <w:pPr>
              <w:spacing w:line="259" w:lineRule="auto"/>
              <w:rPr>
                <w:rFonts w:ascii="Arial" w:eastAsia="Arial" w:hAnsi="Arial" w:cs="Arial"/>
                <w:color w:val="000000" w:themeColor="text1"/>
                <w:sz w:val="24"/>
                <w:szCs w:val="24"/>
                <w:lang w:val="en-GB"/>
              </w:rPr>
            </w:pPr>
          </w:p>
        </w:tc>
      </w:tr>
      <w:tr w:rsidR="212CE821" w14:paraId="58CABAA4" w14:textId="77777777" w:rsidTr="212CE821">
        <w:tc>
          <w:tcPr>
            <w:tcW w:w="389" w:type="dxa"/>
          </w:tcPr>
          <w:p w14:paraId="48238BCB" w14:textId="62CC85B3"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27</w:t>
            </w:r>
          </w:p>
        </w:tc>
        <w:tc>
          <w:tcPr>
            <w:tcW w:w="6091" w:type="dxa"/>
          </w:tcPr>
          <w:p w14:paraId="3D94DBFE" w14:textId="4BEED4CE"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If a policy stipulates that certain options must be considered when responding to a noise report, it is essential for the landlord to demonstrate consideration of that option and this must be documented, even if the decision is not to use that option to enable the landlord to answer any subsequent complaint. The decision </w:t>
            </w:r>
            <w:r w:rsidRPr="212CE821">
              <w:rPr>
                <w:rFonts w:ascii="Arial" w:eastAsia="Arial" w:hAnsi="Arial" w:cs="Arial"/>
                <w:color w:val="000000" w:themeColor="text1"/>
                <w:sz w:val="24"/>
                <w:szCs w:val="24"/>
                <w:lang w:val="en-GB"/>
              </w:rPr>
              <w:lastRenderedPageBreak/>
              <w:t xml:space="preserve">should be clearly communicated to the complainant including the reasons why. </w:t>
            </w:r>
          </w:p>
        </w:tc>
        <w:tc>
          <w:tcPr>
            <w:tcW w:w="8040" w:type="dxa"/>
          </w:tcPr>
          <w:p w14:paraId="49AA133A" w14:textId="341EEA94" w:rsidR="212CE821" w:rsidRDefault="212CE821" w:rsidP="212CE821">
            <w:pPr>
              <w:spacing w:line="259" w:lineRule="auto"/>
              <w:rPr>
                <w:rFonts w:ascii="Arial" w:eastAsia="Arial" w:hAnsi="Arial" w:cs="Arial"/>
                <w:color w:val="000000" w:themeColor="text1"/>
                <w:sz w:val="24"/>
                <w:szCs w:val="24"/>
                <w:lang w:val="en-GB"/>
              </w:rPr>
            </w:pPr>
          </w:p>
        </w:tc>
      </w:tr>
      <w:tr w:rsidR="212CE821" w14:paraId="053DB281" w14:textId="77777777" w:rsidTr="212CE821">
        <w:tc>
          <w:tcPr>
            <w:tcW w:w="389" w:type="dxa"/>
          </w:tcPr>
          <w:p w14:paraId="2C302D78" w14:textId="5A7C00BF"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28</w:t>
            </w:r>
          </w:p>
        </w:tc>
        <w:tc>
          <w:tcPr>
            <w:tcW w:w="6091" w:type="dxa"/>
          </w:tcPr>
          <w:p w14:paraId="0D1D7F0C" w14:textId="04E59C60"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Noise recordings submitted by residents should always be listened to by the case handler to ensure robust investigations that are informed by a true understanding of the noise being reported. </w:t>
            </w:r>
          </w:p>
        </w:tc>
        <w:tc>
          <w:tcPr>
            <w:tcW w:w="8040" w:type="dxa"/>
          </w:tcPr>
          <w:p w14:paraId="11324C9F" w14:textId="12C64C2D" w:rsidR="212CE821" w:rsidRDefault="212CE821" w:rsidP="212CE821">
            <w:pPr>
              <w:spacing w:line="259" w:lineRule="auto"/>
              <w:rPr>
                <w:rFonts w:ascii="Arial" w:eastAsia="Arial" w:hAnsi="Arial" w:cs="Arial"/>
                <w:color w:val="000000" w:themeColor="text1"/>
                <w:sz w:val="24"/>
                <w:szCs w:val="24"/>
                <w:lang w:val="en-GB"/>
              </w:rPr>
            </w:pPr>
          </w:p>
        </w:tc>
      </w:tr>
      <w:tr w:rsidR="212CE821" w14:paraId="23F061FC" w14:textId="77777777" w:rsidTr="212CE821">
        <w:tc>
          <w:tcPr>
            <w:tcW w:w="389" w:type="dxa"/>
          </w:tcPr>
          <w:p w14:paraId="3FC6B7AF" w14:textId="3ECEDCBC"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29</w:t>
            </w:r>
          </w:p>
        </w:tc>
        <w:tc>
          <w:tcPr>
            <w:tcW w:w="6091" w:type="dxa"/>
          </w:tcPr>
          <w:p w14:paraId="3C7ED61E" w14:textId="7278C9BD"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Landlords should review the current provision of staff training, supervision, guidance and support and whether this is conducive to ensuring high standard of customer care. Particular consideration should be given to how confident and equipped staff feel in having difficult conversations, including managing expectations and delivering unwelcome news.</w:t>
            </w:r>
          </w:p>
        </w:tc>
        <w:tc>
          <w:tcPr>
            <w:tcW w:w="8040" w:type="dxa"/>
          </w:tcPr>
          <w:p w14:paraId="3F648DB1" w14:textId="059BFE1D" w:rsidR="212CE821" w:rsidRDefault="212CE821" w:rsidP="212CE821">
            <w:pPr>
              <w:spacing w:line="259" w:lineRule="auto"/>
              <w:rPr>
                <w:rFonts w:ascii="Arial" w:eastAsia="Arial" w:hAnsi="Arial" w:cs="Arial"/>
                <w:color w:val="000000" w:themeColor="text1"/>
                <w:sz w:val="24"/>
                <w:szCs w:val="24"/>
                <w:lang w:val="en-GB"/>
              </w:rPr>
            </w:pPr>
          </w:p>
        </w:tc>
      </w:tr>
      <w:tr w:rsidR="212CE821" w14:paraId="7E92ABB0" w14:textId="77777777" w:rsidTr="212CE821">
        <w:tc>
          <w:tcPr>
            <w:tcW w:w="389" w:type="dxa"/>
          </w:tcPr>
          <w:p w14:paraId="0C2CB8DE" w14:textId="6C2A2B5F"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30</w:t>
            </w:r>
          </w:p>
        </w:tc>
        <w:tc>
          <w:tcPr>
            <w:tcW w:w="6091" w:type="dxa"/>
          </w:tcPr>
          <w:p w14:paraId="0F8A7AA8" w14:textId="31684455"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Line managers should be aware of an individual’s caseload and the significant decisions taken in those cases and, wherever possible, handover meetings should be conducted where the ownership of a noise report is transferred.</w:t>
            </w:r>
          </w:p>
        </w:tc>
        <w:tc>
          <w:tcPr>
            <w:tcW w:w="8040" w:type="dxa"/>
          </w:tcPr>
          <w:p w14:paraId="0EB034A4" w14:textId="6A8ED3F7" w:rsidR="212CE821" w:rsidRDefault="212CE821" w:rsidP="212CE821">
            <w:pPr>
              <w:spacing w:line="259" w:lineRule="auto"/>
              <w:rPr>
                <w:rFonts w:ascii="Arial" w:eastAsia="Arial" w:hAnsi="Arial" w:cs="Arial"/>
                <w:color w:val="000000" w:themeColor="text1"/>
                <w:sz w:val="24"/>
                <w:szCs w:val="24"/>
                <w:lang w:val="en-GB"/>
              </w:rPr>
            </w:pPr>
          </w:p>
        </w:tc>
      </w:tr>
      <w:tr w:rsidR="212CE821" w14:paraId="186C258A" w14:textId="77777777" w:rsidTr="212CE821">
        <w:tc>
          <w:tcPr>
            <w:tcW w:w="389" w:type="dxa"/>
          </w:tcPr>
          <w:p w14:paraId="6E6E8A30" w14:textId="5C3A9991"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31</w:t>
            </w:r>
          </w:p>
        </w:tc>
        <w:tc>
          <w:tcPr>
            <w:tcW w:w="6091" w:type="dxa"/>
          </w:tcPr>
          <w:p w14:paraId="1520328E" w14:textId="44E16FCA"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 xml:space="preserve">Landlords should ensure that information is provided as standard to residents who make noise reports about their right to make a complaint if they are dissatisfied with the landlord’s proposal for handling the situation or the actions taken by the landlord to address the situation. </w:t>
            </w:r>
          </w:p>
        </w:tc>
        <w:tc>
          <w:tcPr>
            <w:tcW w:w="8040" w:type="dxa"/>
          </w:tcPr>
          <w:p w14:paraId="4688CC9E" w14:textId="2B63466D" w:rsidR="212CE821" w:rsidRDefault="212CE821" w:rsidP="212CE821">
            <w:pPr>
              <w:spacing w:line="259" w:lineRule="auto"/>
              <w:rPr>
                <w:rFonts w:ascii="Arial" w:eastAsia="Arial" w:hAnsi="Arial" w:cs="Arial"/>
                <w:color w:val="000000" w:themeColor="text1"/>
                <w:sz w:val="24"/>
                <w:szCs w:val="24"/>
                <w:lang w:val="en-GB"/>
              </w:rPr>
            </w:pPr>
          </w:p>
        </w:tc>
      </w:tr>
      <w:tr w:rsidR="212CE821" w14:paraId="064DC3C2" w14:textId="77777777" w:rsidTr="212CE821">
        <w:tc>
          <w:tcPr>
            <w:tcW w:w="389" w:type="dxa"/>
          </w:tcPr>
          <w:p w14:paraId="14AC6DDD" w14:textId="22CF3B04"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32</w:t>
            </w:r>
          </w:p>
        </w:tc>
        <w:tc>
          <w:tcPr>
            <w:tcW w:w="6091" w:type="dxa"/>
          </w:tcPr>
          <w:p w14:paraId="6B34E902" w14:textId="1FB609C9" w:rsidR="212CE821" w:rsidRDefault="212CE821" w:rsidP="212CE821">
            <w:pPr>
              <w:spacing w:line="259" w:lineRule="auto"/>
              <w:rPr>
                <w:rFonts w:ascii="Arial" w:eastAsia="Arial" w:hAnsi="Arial" w:cs="Arial"/>
                <w:color w:val="000000" w:themeColor="text1"/>
                <w:sz w:val="24"/>
                <w:szCs w:val="24"/>
              </w:rPr>
            </w:pPr>
            <w:r w:rsidRPr="212CE821">
              <w:rPr>
                <w:rFonts w:ascii="Arial" w:eastAsia="Arial" w:hAnsi="Arial" w:cs="Arial"/>
                <w:color w:val="000000" w:themeColor="text1"/>
                <w:sz w:val="24"/>
                <w:szCs w:val="24"/>
                <w:lang w:val="en-GB"/>
              </w:rPr>
              <w:t>The member of staff who has been handling the noise report that is being complained about should never be allocated the complaint to investigate.</w:t>
            </w:r>
          </w:p>
        </w:tc>
        <w:tc>
          <w:tcPr>
            <w:tcW w:w="8040" w:type="dxa"/>
          </w:tcPr>
          <w:p w14:paraId="5DCA6792" w14:textId="2AB67DC5" w:rsidR="212CE821" w:rsidRDefault="212CE821" w:rsidP="212CE821">
            <w:pPr>
              <w:spacing w:line="259" w:lineRule="auto"/>
              <w:rPr>
                <w:rFonts w:ascii="Arial" w:eastAsia="Arial" w:hAnsi="Arial" w:cs="Arial"/>
                <w:color w:val="000000" w:themeColor="text1"/>
                <w:sz w:val="24"/>
                <w:szCs w:val="24"/>
                <w:lang w:val="en-GB"/>
              </w:rPr>
            </w:pPr>
          </w:p>
        </w:tc>
      </w:tr>
    </w:tbl>
    <w:p w14:paraId="01843B68" w14:textId="5418F39E" w:rsidR="212CE821" w:rsidRDefault="212CE821" w:rsidP="212CE821"/>
    <w:sectPr w:rsidR="212CE82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2245B"/>
    <w:multiLevelType w:val="hybridMultilevel"/>
    <w:tmpl w:val="070EF72A"/>
    <w:lvl w:ilvl="0" w:tplc="9FB801C8">
      <w:start w:val="1"/>
      <w:numFmt w:val="bullet"/>
      <w:lvlText w:val=""/>
      <w:lvlJc w:val="left"/>
      <w:pPr>
        <w:ind w:left="720" w:hanging="360"/>
      </w:pPr>
      <w:rPr>
        <w:rFonts w:ascii="Symbol" w:hAnsi="Symbol" w:hint="default"/>
      </w:rPr>
    </w:lvl>
    <w:lvl w:ilvl="1" w:tplc="C596BE38">
      <w:start w:val="1"/>
      <w:numFmt w:val="bullet"/>
      <w:lvlText w:val="o"/>
      <w:lvlJc w:val="left"/>
      <w:pPr>
        <w:ind w:left="1440" w:hanging="360"/>
      </w:pPr>
      <w:rPr>
        <w:rFonts w:ascii="Courier New" w:hAnsi="Courier New" w:hint="default"/>
      </w:rPr>
    </w:lvl>
    <w:lvl w:ilvl="2" w:tplc="F620F1B4">
      <w:start w:val="1"/>
      <w:numFmt w:val="bullet"/>
      <w:lvlText w:val=""/>
      <w:lvlJc w:val="left"/>
      <w:pPr>
        <w:ind w:left="2160" w:hanging="360"/>
      </w:pPr>
      <w:rPr>
        <w:rFonts w:ascii="Wingdings" w:hAnsi="Wingdings" w:hint="default"/>
      </w:rPr>
    </w:lvl>
    <w:lvl w:ilvl="3" w:tplc="0FFCB0B4">
      <w:start w:val="1"/>
      <w:numFmt w:val="bullet"/>
      <w:lvlText w:val=""/>
      <w:lvlJc w:val="left"/>
      <w:pPr>
        <w:ind w:left="2880" w:hanging="360"/>
      </w:pPr>
      <w:rPr>
        <w:rFonts w:ascii="Symbol" w:hAnsi="Symbol" w:hint="default"/>
      </w:rPr>
    </w:lvl>
    <w:lvl w:ilvl="4" w:tplc="6240B172">
      <w:start w:val="1"/>
      <w:numFmt w:val="bullet"/>
      <w:lvlText w:val="o"/>
      <w:lvlJc w:val="left"/>
      <w:pPr>
        <w:ind w:left="3600" w:hanging="360"/>
      </w:pPr>
      <w:rPr>
        <w:rFonts w:ascii="Courier New" w:hAnsi="Courier New" w:hint="default"/>
      </w:rPr>
    </w:lvl>
    <w:lvl w:ilvl="5" w:tplc="E0B4FAD6">
      <w:start w:val="1"/>
      <w:numFmt w:val="bullet"/>
      <w:lvlText w:val=""/>
      <w:lvlJc w:val="left"/>
      <w:pPr>
        <w:ind w:left="4320" w:hanging="360"/>
      </w:pPr>
      <w:rPr>
        <w:rFonts w:ascii="Wingdings" w:hAnsi="Wingdings" w:hint="default"/>
      </w:rPr>
    </w:lvl>
    <w:lvl w:ilvl="6" w:tplc="836E7432">
      <w:start w:val="1"/>
      <w:numFmt w:val="bullet"/>
      <w:lvlText w:val=""/>
      <w:lvlJc w:val="left"/>
      <w:pPr>
        <w:ind w:left="5040" w:hanging="360"/>
      </w:pPr>
      <w:rPr>
        <w:rFonts w:ascii="Symbol" w:hAnsi="Symbol" w:hint="default"/>
      </w:rPr>
    </w:lvl>
    <w:lvl w:ilvl="7" w:tplc="16E0EA9E">
      <w:start w:val="1"/>
      <w:numFmt w:val="bullet"/>
      <w:lvlText w:val="o"/>
      <w:lvlJc w:val="left"/>
      <w:pPr>
        <w:ind w:left="5760" w:hanging="360"/>
      </w:pPr>
      <w:rPr>
        <w:rFonts w:ascii="Courier New" w:hAnsi="Courier New" w:hint="default"/>
      </w:rPr>
    </w:lvl>
    <w:lvl w:ilvl="8" w:tplc="6DBA1B58">
      <w:start w:val="1"/>
      <w:numFmt w:val="bullet"/>
      <w:lvlText w:val=""/>
      <w:lvlJc w:val="left"/>
      <w:pPr>
        <w:ind w:left="6480" w:hanging="360"/>
      </w:pPr>
      <w:rPr>
        <w:rFonts w:ascii="Wingdings" w:hAnsi="Wingdings" w:hint="default"/>
      </w:rPr>
    </w:lvl>
  </w:abstractNum>
  <w:num w:numId="1" w16cid:durableId="58006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AFC48F"/>
    <w:rsid w:val="0015049D"/>
    <w:rsid w:val="00BA3E37"/>
    <w:rsid w:val="140F8525"/>
    <w:rsid w:val="1921D63C"/>
    <w:rsid w:val="1AF31D4D"/>
    <w:rsid w:val="212CE821"/>
    <w:rsid w:val="26BF162F"/>
    <w:rsid w:val="314AF971"/>
    <w:rsid w:val="34829A33"/>
    <w:rsid w:val="36F117A4"/>
    <w:rsid w:val="4A22D933"/>
    <w:rsid w:val="50AFC48F"/>
    <w:rsid w:val="5E6F28D8"/>
    <w:rsid w:val="7349DD07"/>
    <w:rsid w:val="7AA299DF"/>
    <w:rsid w:val="7CEE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C48F"/>
  <w15:chartTrackingRefBased/>
  <w15:docId w15:val="{A3054BAB-AF30-4607-8DB3-7950FEC6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uiPriority w:val="1"/>
    <w:rsid w:val="212CE821"/>
    <w:rPr>
      <w:rFonts w:ascii="Segoe UI" w:eastAsiaTheme="minorEastAsia"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A045E620DE44C9D131C7575CB97DB" ma:contentTypeVersion="15" ma:contentTypeDescription="Create a new document." ma:contentTypeScope="" ma:versionID="0963e3e531b37f2287fbfe90271156b2">
  <xsd:schema xmlns:xsd="http://www.w3.org/2001/XMLSchema" xmlns:xs="http://www.w3.org/2001/XMLSchema" xmlns:p="http://schemas.microsoft.com/office/2006/metadata/properties" xmlns:ns2="4d743f5b-f2b1-4d41-a632-599fdfe3ca8b" xmlns:ns3="fc7fb37c-c5e3-4607-8d6f-dbaab42c2907" targetNamespace="http://schemas.microsoft.com/office/2006/metadata/properties" ma:root="true" ma:fieldsID="a19a61e87eb487f1a9f7e5eb90090ae2" ns2:_="" ns3:_="">
    <xsd:import namespace="4d743f5b-f2b1-4d41-a632-599fdfe3ca8b"/>
    <xsd:import namespace="fc7fb37c-c5e3-4607-8d6f-dbaab42c2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Not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fb37c-c5e3-4607-8d6f-dbaab42c29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 ma:index="19" nillable="true" ma:displayName="Notes" ma:format="Dropdown" ma:internalName="Notes">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fc7fb37c-c5e3-4607-8d6f-dbaab42c2907" xsi:nil="true"/>
    <lcf76f155ced4ddcb4097134ff3c332f xmlns="fc7fb37c-c5e3-4607-8d6f-dbaab42c2907">
      <Terms xmlns="http://schemas.microsoft.com/office/infopath/2007/PartnerControls"/>
    </lcf76f155ced4ddcb4097134ff3c332f>
    <TaxCatchAll xmlns="4d743f5b-f2b1-4d41-a632-599fdfe3ca8b" xsi:nil="true"/>
    <SharedWithUsers xmlns="4d743f5b-f2b1-4d41-a632-599fdfe3ca8b">
      <UserInfo>
        <DisplayName>Jackie Feeney</DisplayName>
        <AccountId>29</AccountId>
        <AccountType/>
      </UserInfo>
    </SharedWithUsers>
  </documentManagement>
</p:properties>
</file>

<file path=customXml/itemProps1.xml><?xml version="1.0" encoding="utf-8"?>
<ds:datastoreItem xmlns:ds="http://schemas.openxmlformats.org/officeDocument/2006/customXml" ds:itemID="{55E20875-72CC-4B50-AFE8-65F59732FDF9}"/>
</file>

<file path=customXml/itemProps2.xml><?xml version="1.0" encoding="utf-8"?>
<ds:datastoreItem xmlns:ds="http://schemas.openxmlformats.org/officeDocument/2006/customXml" ds:itemID="{F32968BB-5147-48B1-8AA5-3F02C605437F}"/>
</file>

<file path=customXml/itemProps3.xml><?xml version="1.0" encoding="utf-8"?>
<ds:datastoreItem xmlns:ds="http://schemas.openxmlformats.org/officeDocument/2006/customXml" ds:itemID="{7B714C58-0A71-4C0B-8C0A-15D6F7748779}"/>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8653</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Eyre</dc:creator>
  <cp:keywords/>
  <dc:description/>
  <cp:lastModifiedBy>Rebecca Reed</cp:lastModifiedBy>
  <cp:revision>2</cp:revision>
  <dcterms:created xsi:type="dcterms:W3CDTF">2022-10-20T08:25:00Z</dcterms:created>
  <dcterms:modified xsi:type="dcterms:W3CDTF">2022-10-20T08:25:00Z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0x01010045DA045E620DE44C9D131C7575CB97DB</vt:lpwstr>
  </property>
</Properties>
</file>